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A3331" w14:textId="77777777" w:rsidR="00754203" w:rsidRPr="007019B8" w:rsidRDefault="00754203" w:rsidP="00754203">
      <w:pPr>
        <w:jc w:val="center"/>
        <w:rPr>
          <w:rFonts w:ascii="Arial" w:hAnsi="Arial" w:cs="Arial"/>
          <w:b/>
          <w:bCs/>
          <w:sz w:val="72"/>
          <w:szCs w:val="48"/>
        </w:rPr>
      </w:pPr>
      <w:r w:rsidRPr="007019B8">
        <w:rPr>
          <w:rFonts w:ascii="Arial" w:hAnsi="Arial" w:cs="Arial"/>
          <w:b/>
          <w:bCs/>
          <w:noProof/>
          <w:sz w:val="72"/>
          <w:szCs w:val="48"/>
          <w:lang w:eastAsia="en-GB"/>
        </w:rPr>
        <w:drawing>
          <wp:inline distT="0" distB="0" distL="0" distR="0" wp14:anchorId="4CA854B4" wp14:editId="70C65714">
            <wp:extent cx="5731510" cy="2359025"/>
            <wp:effectExtent l="0" t="0" r="0" b="3175"/>
            <wp:docPr id="3" name="Picture 3"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2359025"/>
                    </a:xfrm>
                    <a:prstGeom prst="rect">
                      <a:avLst/>
                    </a:prstGeom>
                  </pic:spPr>
                </pic:pic>
              </a:graphicData>
            </a:graphic>
          </wp:inline>
        </w:drawing>
      </w:r>
      <w:r w:rsidRPr="007019B8">
        <w:rPr>
          <w:rFonts w:ascii="Arial" w:hAnsi="Arial" w:cs="Arial"/>
          <w:b/>
          <w:bCs/>
          <w:sz w:val="72"/>
          <w:szCs w:val="48"/>
        </w:rPr>
        <w:t>RAPIDO</w:t>
      </w:r>
    </w:p>
    <w:p w14:paraId="543A9712" w14:textId="77777777" w:rsidR="00754203" w:rsidRPr="007019B8" w:rsidRDefault="00754203" w:rsidP="00754203">
      <w:pPr>
        <w:jc w:val="center"/>
        <w:rPr>
          <w:rFonts w:ascii="Arial" w:hAnsi="Arial" w:cs="Arial"/>
          <w:sz w:val="32"/>
        </w:rPr>
      </w:pPr>
    </w:p>
    <w:p w14:paraId="66C27730" w14:textId="77777777" w:rsidR="00754203" w:rsidRPr="007019B8" w:rsidRDefault="00754203" w:rsidP="00754203">
      <w:pPr>
        <w:jc w:val="center"/>
        <w:rPr>
          <w:rFonts w:ascii="Arial" w:hAnsi="Arial" w:cs="Arial"/>
          <w:sz w:val="32"/>
        </w:rPr>
      </w:pPr>
      <w:r w:rsidRPr="007019B8">
        <w:rPr>
          <w:rFonts w:ascii="Arial" w:hAnsi="Arial" w:cs="Arial"/>
          <w:sz w:val="32"/>
        </w:rPr>
        <w:t xml:space="preserve">A ‘Flash-Mob’ UK national audit of the use of </w:t>
      </w:r>
      <w:r w:rsidRPr="007019B8">
        <w:rPr>
          <w:rFonts w:ascii="Arial" w:hAnsi="Arial" w:cs="Arial"/>
          <w:b/>
          <w:bCs/>
          <w:sz w:val="32"/>
          <w:u w:val="single"/>
        </w:rPr>
        <w:t>R</w:t>
      </w:r>
      <w:r w:rsidRPr="007019B8">
        <w:rPr>
          <w:rFonts w:ascii="Arial" w:hAnsi="Arial" w:cs="Arial"/>
          <w:sz w:val="32"/>
        </w:rPr>
        <w:t xml:space="preserve">eversal </w:t>
      </w:r>
      <w:r w:rsidRPr="007019B8">
        <w:rPr>
          <w:rFonts w:ascii="Arial" w:hAnsi="Arial" w:cs="Arial"/>
          <w:b/>
          <w:bCs/>
          <w:sz w:val="32"/>
          <w:u w:val="single"/>
        </w:rPr>
        <w:t>A</w:t>
      </w:r>
      <w:r w:rsidRPr="007019B8">
        <w:rPr>
          <w:rFonts w:ascii="Arial" w:hAnsi="Arial" w:cs="Arial"/>
          <w:sz w:val="32"/>
        </w:rPr>
        <w:t xml:space="preserve">gents in </w:t>
      </w:r>
      <w:r w:rsidRPr="007019B8">
        <w:rPr>
          <w:rFonts w:ascii="Arial" w:hAnsi="Arial" w:cs="Arial"/>
          <w:b/>
          <w:bCs/>
          <w:sz w:val="32"/>
          <w:u w:val="single"/>
        </w:rPr>
        <w:t>P</w:t>
      </w:r>
      <w:r w:rsidRPr="007019B8">
        <w:rPr>
          <w:rFonts w:ascii="Arial" w:hAnsi="Arial" w:cs="Arial"/>
          <w:sz w:val="32"/>
        </w:rPr>
        <w:t>atients ant</w:t>
      </w:r>
      <w:r w:rsidRPr="007019B8">
        <w:rPr>
          <w:rFonts w:ascii="Arial" w:hAnsi="Arial" w:cs="Arial"/>
          <w:b/>
          <w:bCs/>
          <w:sz w:val="32"/>
          <w:u w:val="single"/>
        </w:rPr>
        <w:t>I</w:t>
      </w:r>
      <w:r w:rsidRPr="007019B8">
        <w:rPr>
          <w:rFonts w:ascii="Arial" w:hAnsi="Arial" w:cs="Arial"/>
          <w:sz w:val="32"/>
        </w:rPr>
        <w:t xml:space="preserve">coagulated with </w:t>
      </w:r>
      <w:r w:rsidRPr="007019B8">
        <w:rPr>
          <w:rFonts w:ascii="Arial" w:hAnsi="Arial" w:cs="Arial"/>
          <w:b/>
          <w:bCs/>
          <w:sz w:val="32"/>
          <w:u w:val="single"/>
        </w:rPr>
        <w:t>D</w:t>
      </w:r>
      <w:r w:rsidRPr="007019B8">
        <w:rPr>
          <w:rFonts w:ascii="Arial" w:hAnsi="Arial" w:cs="Arial"/>
          <w:sz w:val="32"/>
        </w:rPr>
        <w:t xml:space="preserve">irect </w:t>
      </w:r>
      <w:r w:rsidRPr="007019B8">
        <w:rPr>
          <w:rFonts w:ascii="Arial" w:hAnsi="Arial" w:cs="Arial"/>
          <w:b/>
          <w:bCs/>
          <w:sz w:val="32"/>
          <w:u w:val="single"/>
        </w:rPr>
        <w:t>O</w:t>
      </w:r>
      <w:r w:rsidRPr="007019B8">
        <w:rPr>
          <w:rFonts w:ascii="Arial" w:hAnsi="Arial" w:cs="Arial"/>
          <w:sz w:val="32"/>
        </w:rPr>
        <w:t>ral anticoagulants (HaemSTAR RAPIDO)</w:t>
      </w:r>
    </w:p>
    <w:p w14:paraId="4D634A9F" w14:textId="77777777" w:rsidR="00754203" w:rsidRPr="007019B8" w:rsidRDefault="00754203" w:rsidP="00754203">
      <w:pPr>
        <w:jc w:val="center"/>
        <w:rPr>
          <w:rFonts w:ascii="Arial" w:hAnsi="Arial" w:cs="Arial"/>
          <w:sz w:val="32"/>
        </w:rPr>
      </w:pPr>
    </w:p>
    <w:p w14:paraId="75329BF6" w14:textId="77777777" w:rsidR="00754203" w:rsidRPr="007019B8" w:rsidRDefault="00754203" w:rsidP="00754203">
      <w:pPr>
        <w:jc w:val="center"/>
        <w:rPr>
          <w:rFonts w:ascii="Arial" w:hAnsi="Arial" w:cs="Arial"/>
          <w:b/>
          <w:bCs/>
          <w:sz w:val="32"/>
        </w:rPr>
      </w:pPr>
      <w:r w:rsidRPr="007019B8">
        <w:rPr>
          <w:rFonts w:ascii="Arial" w:hAnsi="Arial" w:cs="Arial"/>
          <w:b/>
          <w:bCs/>
          <w:sz w:val="32"/>
        </w:rPr>
        <w:t>Guide for local NHS audit department registration</w:t>
      </w:r>
    </w:p>
    <w:p w14:paraId="31962348" w14:textId="77777777" w:rsidR="00754203" w:rsidRPr="007019B8" w:rsidRDefault="00754203" w:rsidP="00754203">
      <w:pPr>
        <w:rPr>
          <w:rFonts w:ascii="Arial" w:hAnsi="Arial" w:cs="Arial"/>
          <w:sz w:val="32"/>
        </w:rPr>
      </w:pPr>
    </w:p>
    <w:p w14:paraId="67D43ED2" w14:textId="77777777" w:rsidR="00754203" w:rsidRPr="007019B8" w:rsidRDefault="00754203" w:rsidP="00754203">
      <w:pPr>
        <w:jc w:val="center"/>
        <w:rPr>
          <w:rFonts w:ascii="Arial" w:hAnsi="Arial" w:cs="Arial"/>
          <w:sz w:val="32"/>
        </w:rPr>
      </w:pPr>
      <w:r w:rsidRPr="007019B8">
        <w:rPr>
          <w:rFonts w:ascii="Arial" w:hAnsi="Arial" w:cs="Arial"/>
          <w:sz w:val="32"/>
        </w:rPr>
        <w:t>Website:</w:t>
      </w:r>
      <w:r w:rsidRPr="007019B8">
        <w:rPr>
          <w:rFonts w:ascii="Arial" w:hAnsi="Arial" w:cs="Arial"/>
        </w:rPr>
        <w:t xml:space="preserve"> </w:t>
      </w:r>
      <w:hyperlink r:id="rId8" w:history="1">
        <w:r w:rsidRPr="00F37C8F">
          <w:rPr>
            <w:rStyle w:val="Hyperlink"/>
            <w:rFonts w:ascii="Arial" w:hAnsi="Arial" w:cs="Arial"/>
            <w:sz w:val="32"/>
          </w:rPr>
          <w:t>https://haemstar.org/RAPIDO/</w:t>
        </w:r>
      </w:hyperlink>
    </w:p>
    <w:p w14:paraId="547AEAEF" w14:textId="5058549D" w:rsidR="00754203" w:rsidRPr="007019B8" w:rsidRDefault="00754203" w:rsidP="00754203">
      <w:pPr>
        <w:jc w:val="center"/>
        <w:rPr>
          <w:rFonts w:ascii="Arial" w:hAnsi="Arial" w:cs="Arial"/>
          <w:sz w:val="32"/>
        </w:rPr>
      </w:pPr>
      <w:r w:rsidRPr="007019B8">
        <w:rPr>
          <w:rFonts w:ascii="Arial" w:hAnsi="Arial" w:cs="Arial"/>
          <w:sz w:val="32"/>
        </w:rPr>
        <w:t xml:space="preserve">Contact: </w:t>
      </w:r>
      <w:hyperlink r:id="rId9" w:history="1">
        <w:r w:rsidRPr="007019B8">
          <w:rPr>
            <w:rStyle w:val="Hyperlink"/>
            <w:rFonts w:ascii="Arial" w:hAnsi="Arial" w:cs="Arial"/>
            <w:sz w:val="32"/>
          </w:rPr>
          <w:t>richard.buka@nhs.net</w:t>
        </w:r>
      </w:hyperlink>
    </w:p>
    <w:p w14:paraId="0A93BB34" w14:textId="77777777" w:rsidR="00754203" w:rsidRPr="007019B8" w:rsidRDefault="00754203" w:rsidP="00754203">
      <w:pPr>
        <w:rPr>
          <w:rFonts w:ascii="Arial" w:hAnsi="Arial" w:cs="Arial"/>
          <w:sz w:val="32"/>
        </w:rPr>
      </w:pPr>
      <w:r w:rsidRPr="007019B8">
        <w:rPr>
          <w:rFonts w:ascii="Arial" w:hAnsi="Arial" w:cs="Arial"/>
          <w:sz w:val="32"/>
        </w:rPr>
        <w:br w:type="page"/>
      </w:r>
    </w:p>
    <w:sdt>
      <w:sdtPr>
        <w:rPr>
          <w:rFonts w:ascii="Arial" w:eastAsiaTheme="minorHAnsi" w:hAnsi="Arial" w:cs="Arial"/>
          <w:color w:val="auto"/>
          <w:sz w:val="22"/>
          <w:szCs w:val="22"/>
          <w:lang w:val="en-GB"/>
        </w:rPr>
        <w:id w:val="1507794594"/>
        <w:docPartObj>
          <w:docPartGallery w:val="Table of Contents"/>
          <w:docPartUnique/>
        </w:docPartObj>
      </w:sdtPr>
      <w:sdtEndPr>
        <w:rPr>
          <w:b/>
          <w:bCs/>
          <w:noProof/>
        </w:rPr>
      </w:sdtEndPr>
      <w:sdtContent>
        <w:p w14:paraId="60816E57" w14:textId="77777777" w:rsidR="00754203" w:rsidRPr="007019B8" w:rsidRDefault="00754203" w:rsidP="00754203">
          <w:pPr>
            <w:pStyle w:val="TOCHeading"/>
            <w:rPr>
              <w:rFonts w:ascii="Arial" w:hAnsi="Arial" w:cs="Arial"/>
              <w:b/>
              <w:bCs/>
              <w:color w:val="auto"/>
            </w:rPr>
          </w:pPr>
          <w:r w:rsidRPr="007019B8">
            <w:rPr>
              <w:rFonts w:ascii="Arial" w:hAnsi="Arial" w:cs="Arial"/>
              <w:b/>
              <w:bCs/>
              <w:color w:val="auto"/>
            </w:rPr>
            <w:t>Contents</w:t>
          </w:r>
        </w:p>
        <w:p w14:paraId="6072DF23" w14:textId="059218FA" w:rsidR="00754203" w:rsidRPr="007019B8" w:rsidRDefault="00754203" w:rsidP="00754203">
          <w:pPr>
            <w:pStyle w:val="TOC1"/>
            <w:tabs>
              <w:tab w:val="right" w:leader="dot" w:pos="9016"/>
            </w:tabs>
            <w:rPr>
              <w:rFonts w:ascii="Arial" w:eastAsiaTheme="minorEastAsia" w:hAnsi="Arial" w:cs="Arial"/>
              <w:noProof/>
              <w:lang w:eastAsia="en-GB"/>
            </w:rPr>
          </w:pPr>
          <w:r w:rsidRPr="007019B8">
            <w:rPr>
              <w:rFonts w:ascii="Arial" w:hAnsi="Arial" w:cs="Arial"/>
            </w:rPr>
            <w:fldChar w:fldCharType="begin"/>
          </w:r>
          <w:r w:rsidRPr="007019B8">
            <w:rPr>
              <w:rFonts w:ascii="Arial" w:hAnsi="Arial" w:cs="Arial"/>
            </w:rPr>
            <w:instrText xml:space="preserve"> TOC \o "1-3" \h \z \u </w:instrText>
          </w:r>
          <w:r w:rsidRPr="007019B8">
            <w:rPr>
              <w:rFonts w:ascii="Arial" w:hAnsi="Arial" w:cs="Arial"/>
            </w:rPr>
            <w:fldChar w:fldCharType="separate"/>
          </w:r>
          <w:hyperlink w:anchor="_Toc97120366" w:history="1">
            <w:r w:rsidRPr="007019B8">
              <w:rPr>
                <w:rStyle w:val="Hyperlink"/>
                <w:rFonts w:ascii="Arial" w:hAnsi="Arial" w:cs="Arial"/>
                <w:noProof/>
              </w:rPr>
              <w:t>Welcome</w:t>
            </w:r>
            <w:r w:rsidRPr="007019B8">
              <w:rPr>
                <w:rFonts w:ascii="Arial" w:hAnsi="Arial" w:cs="Arial"/>
                <w:noProof/>
                <w:webHidden/>
              </w:rPr>
              <w:tab/>
            </w:r>
            <w:r w:rsidRPr="007019B8">
              <w:rPr>
                <w:rFonts w:ascii="Arial" w:hAnsi="Arial" w:cs="Arial"/>
                <w:noProof/>
                <w:webHidden/>
              </w:rPr>
              <w:fldChar w:fldCharType="begin"/>
            </w:r>
            <w:r w:rsidRPr="007019B8">
              <w:rPr>
                <w:rFonts w:ascii="Arial" w:hAnsi="Arial" w:cs="Arial"/>
                <w:noProof/>
                <w:webHidden/>
              </w:rPr>
              <w:instrText xml:space="preserve"> PAGEREF _Toc97120366 \h </w:instrText>
            </w:r>
            <w:r w:rsidRPr="007019B8">
              <w:rPr>
                <w:rFonts w:ascii="Arial" w:hAnsi="Arial" w:cs="Arial"/>
                <w:noProof/>
                <w:webHidden/>
              </w:rPr>
            </w:r>
            <w:r w:rsidRPr="007019B8">
              <w:rPr>
                <w:rFonts w:ascii="Arial" w:hAnsi="Arial" w:cs="Arial"/>
                <w:noProof/>
                <w:webHidden/>
              </w:rPr>
              <w:fldChar w:fldCharType="separate"/>
            </w:r>
            <w:r w:rsidR="00EF70BC">
              <w:rPr>
                <w:rFonts w:ascii="Arial" w:hAnsi="Arial" w:cs="Arial"/>
                <w:noProof/>
                <w:webHidden/>
              </w:rPr>
              <w:t>3</w:t>
            </w:r>
            <w:r w:rsidRPr="007019B8">
              <w:rPr>
                <w:rFonts w:ascii="Arial" w:hAnsi="Arial" w:cs="Arial"/>
                <w:noProof/>
                <w:webHidden/>
              </w:rPr>
              <w:fldChar w:fldCharType="end"/>
            </w:r>
          </w:hyperlink>
        </w:p>
        <w:p w14:paraId="31E73242" w14:textId="6C3B6801" w:rsidR="00754203" w:rsidRPr="007019B8" w:rsidRDefault="005A5065" w:rsidP="00754203">
          <w:pPr>
            <w:pStyle w:val="TOC1"/>
            <w:tabs>
              <w:tab w:val="right" w:leader="dot" w:pos="9016"/>
            </w:tabs>
            <w:rPr>
              <w:rFonts w:ascii="Arial" w:eastAsiaTheme="minorEastAsia" w:hAnsi="Arial" w:cs="Arial"/>
              <w:noProof/>
              <w:lang w:eastAsia="en-GB"/>
            </w:rPr>
          </w:pPr>
          <w:hyperlink w:anchor="_Toc97120367" w:history="1">
            <w:r w:rsidR="00754203" w:rsidRPr="007019B8">
              <w:rPr>
                <w:rStyle w:val="Hyperlink"/>
                <w:rFonts w:ascii="Arial" w:hAnsi="Arial" w:cs="Arial"/>
                <w:noProof/>
              </w:rPr>
              <w:t>Local audit registration</w:t>
            </w:r>
            <w:r w:rsidR="00754203" w:rsidRPr="007019B8">
              <w:rPr>
                <w:rFonts w:ascii="Arial" w:hAnsi="Arial" w:cs="Arial"/>
                <w:noProof/>
                <w:webHidden/>
              </w:rPr>
              <w:tab/>
            </w:r>
            <w:r w:rsidR="00754203" w:rsidRPr="007019B8">
              <w:rPr>
                <w:rFonts w:ascii="Arial" w:hAnsi="Arial" w:cs="Arial"/>
                <w:noProof/>
                <w:webHidden/>
              </w:rPr>
              <w:fldChar w:fldCharType="begin"/>
            </w:r>
            <w:r w:rsidR="00754203" w:rsidRPr="007019B8">
              <w:rPr>
                <w:rFonts w:ascii="Arial" w:hAnsi="Arial" w:cs="Arial"/>
                <w:noProof/>
                <w:webHidden/>
              </w:rPr>
              <w:instrText xml:space="preserve"> PAGEREF _Toc97120367 \h </w:instrText>
            </w:r>
            <w:r w:rsidR="00754203" w:rsidRPr="007019B8">
              <w:rPr>
                <w:rFonts w:ascii="Arial" w:hAnsi="Arial" w:cs="Arial"/>
                <w:noProof/>
                <w:webHidden/>
              </w:rPr>
            </w:r>
            <w:r w:rsidR="00754203" w:rsidRPr="007019B8">
              <w:rPr>
                <w:rFonts w:ascii="Arial" w:hAnsi="Arial" w:cs="Arial"/>
                <w:noProof/>
                <w:webHidden/>
              </w:rPr>
              <w:fldChar w:fldCharType="separate"/>
            </w:r>
            <w:r w:rsidR="00EF70BC">
              <w:rPr>
                <w:rFonts w:ascii="Arial" w:hAnsi="Arial" w:cs="Arial"/>
                <w:noProof/>
                <w:webHidden/>
              </w:rPr>
              <w:t>4</w:t>
            </w:r>
            <w:r w:rsidR="00754203" w:rsidRPr="007019B8">
              <w:rPr>
                <w:rFonts w:ascii="Arial" w:hAnsi="Arial" w:cs="Arial"/>
                <w:noProof/>
                <w:webHidden/>
              </w:rPr>
              <w:fldChar w:fldCharType="end"/>
            </w:r>
          </w:hyperlink>
        </w:p>
        <w:p w14:paraId="0D7FE113" w14:textId="51617DC4" w:rsidR="00754203" w:rsidRPr="007019B8" w:rsidRDefault="005A5065" w:rsidP="00754203">
          <w:pPr>
            <w:pStyle w:val="TOC1"/>
            <w:tabs>
              <w:tab w:val="right" w:leader="dot" w:pos="9016"/>
            </w:tabs>
            <w:rPr>
              <w:rFonts w:ascii="Arial" w:eastAsiaTheme="minorEastAsia" w:hAnsi="Arial" w:cs="Arial"/>
              <w:noProof/>
              <w:lang w:eastAsia="en-GB"/>
            </w:rPr>
          </w:pPr>
          <w:hyperlink w:anchor="_Toc97120368" w:history="1">
            <w:r w:rsidR="00754203" w:rsidRPr="007019B8">
              <w:rPr>
                <w:rStyle w:val="Hyperlink"/>
                <w:rFonts w:ascii="Arial" w:hAnsi="Arial" w:cs="Arial"/>
                <w:noProof/>
              </w:rPr>
              <w:t>Quick-start guide</w:t>
            </w:r>
            <w:r w:rsidR="00754203" w:rsidRPr="007019B8">
              <w:rPr>
                <w:rFonts w:ascii="Arial" w:hAnsi="Arial" w:cs="Arial"/>
                <w:noProof/>
                <w:webHidden/>
              </w:rPr>
              <w:tab/>
            </w:r>
            <w:r w:rsidR="00754203" w:rsidRPr="007019B8">
              <w:rPr>
                <w:rFonts w:ascii="Arial" w:hAnsi="Arial" w:cs="Arial"/>
                <w:noProof/>
                <w:webHidden/>
              </w:rPr>
              <w:fldChar w:fldCharType="begin"/>
            </w:r>
            <w:r w:rsidR="00754203" w:rsidRPr="007019B8">
              <w:rPr>
                <w:rFonts w:ascii="Arial" w:hAnsi="Arial" w:cs="Arial"/>
                <w:noProof/>
                <w:webHidden/>
              </w:rPr>
              <w:instrText xml:space="preserve"> PAGEREF _Toc97120368 \h </w:instrText>
            </w:r>
            <w:r w:rsidR="00754203" w:rsidRPr="007019B8">
              <w:rPr>
                <w:rFonts w:ascii="Arial" w:hAnsi="Arial" w:cs="Arial"/>
                <w:noProof/>
                <w:webHidden/>
              </w:rPr>
            </w:r>
            <w:r w:rsidR="00754203" w:rsidRPr="007019B8">
              <w:rPr>
                <w:rFonts w:ascii="Arial" w:hAnsi="Arial" w:cs="Arial"/>
                <w:noProof/>
                <w:webHidden/>
              </w:rPr>
              <w:fldChar w:fldCharType="separate"/>
            </w:r>
            <w:r w:rsidR="00EF70BC">
              <w:rPr>
                <w:rFonts w:ascii="Arial" w:hAnsi="Arial" w:cs="Arial"/>
                <w:noProof/>
                <w:webHidden/>
              </w:rPr>
              <w:t>4</w:t>
            </w:r>
            <w:r w:rsidR="00754203" w:rsidRPr="007019B8">
              <w:rPr>
                <w:rFonts w:ascii="Arial" w:hAnsi="Arial" w:cs="Arial"/>
                <w:noProof/>
                <w:webHidden/>
              </w:rPr>
              <w:fldChar w:fldCharType="end"/>
            </w:r>
          </w:hyperlink>
        </w:p>
        <w:p w14:paraId="7DEA5A3C" w14:textId="616CDD9F" w:rsidR="00754203" w:rsidRPr="007019B8" w:rsidRDefault="005A5065" w:rsidP="00754203">
          <w:pPr>
            <w:pStyle w:val="TOC1"/>
            <w:tabs>
              <w:tab w:val="right" w:leader="dot" w:pos="9016"/>
            </w:tabs>
            <w:rPr>
              <w:rFonts w:ascii="Arial" w:eastAsiaTheme="minorEastAsia" w:hAnsi="Arial" w:cs="Arial"/>
              <w:noProof/>
              <w:lang w:eastAsia="en-GB"/>
            </w:rPr>
          </w:pPr>
          <w:hyperlink w:anchor="_Toc97120369" w:history="1">
            <w:r w:rsidR="00754203" w:rsidRPr="007019B8">
              <w:rPr>
                <w:rStyle w:val="Hyperlink"/>
                <w:rFonts w:ascii="Arial" w:hAnsi="Arial" w:cs="Arial"/>
                <w:noProof/>
              </w:rPr>
              <w:t>Project summary</w:t>
            </w:r>
            <w:r w:rsidR="00754203" w:rsidRPr="007019B8">
              <w:rPr>
                <w:rFonts w:ascii="Arial" w:hAnsi="Arial" w:cs="Arial"/>
                <w:noProof/>
                <w:webHidden/>
              </w:rPr>
              <w:tab/>
            </w:r>
            <w:r w:rsidR="00754203" w:rsidRPr="007019B8">
              <w:rPr>
                <w:rFonts w:ascii="Arial" w:hAnsi="Arial" w:cs="Arial"/>
                <w:noProof/>
                <w:webHidden/>
              </w:rPr>
              <w:fldChar w:fldCharType="begin"/>
            </w:r>
            <w:r w:rsidR="00754203" w:rsidRPr="007019B8">
              <w:rPr>
                <w:rFonts w:ascii="Arial" w:hAnsi="Arial" w:cs="Arial"/>
                <w:noProof/>
                <w:webHidden/>
              </w:rPr>
              <w:instrText xml:space="preserve"> PAGEREF _Toc97120369 \h </w:instrText>
            </w:r>
            <w:r w:rsidR="00754203" w:rsidRPr="007019B8">
              <w:rPr>
                <w:rFonts w:ascii="Arial" w:hAnsi="Arial" w:cs="Arial"/>
                <w:noProof/>
                <w:webHidden/>
              </w:rPr>
            </w:r>
            <w:r w:rsidR="00754203" w:rsidRPr="007019B8">
              <w:rPr>
                <w:rFonts w:ascii="Arial" w:hAnsi="Arial" w:cs="Arial"/>
                <w:noProof/>
                <w:webHidden/>
              </w:rPr>
              <w:fldChar w:fldCharType="separate"/>
            </w:r>
            <w:r w:rsidR="00EF70BC">
              <w:rPr>
                <w:rFonts w:ascii="Arial" w:hAnsi="Arial" w:cs="Arial"/>
                <w:noProof/>
                <w:webHidden/>
              </w:rPr>
              <w:t>7</w:t>
            </w:r>
            <w:r w:rsidR="00754203" w:rsidRPr="007019B8">
              <w:rPr>
                <w:rFonts w:ascii="Arial" w:hAnsi="Arial" w:cs="Arial"/>
                <w:noProof/>
                <w:webHidden/>
              </w:rPr>
              <w:fldChar w:fldCharType="end"/>
            </w:r>
          </w:hyperlink>
        </w:p>
        <w:p w14:paraId="2294A2D0" w14:textId="2BB88D3F" w:rsidR="00754203" w:rsidRPr="007019B8" w:rsidRDefault="005A5065" w:rsidP="00754203">
          <w:pPr>
            <w:pStyle w:val="TOC1"/>
            <w:tabs>
              <w:tab w:val="right" w:leader="dot" w:pos="9016"/>
            </w:tabs>
            <w:rPr>
              <w:rFonts w:ascii="Arial" w:eastAsiaTheme="minorEastAsia" w:hAnsi="Arial" w:cs="Arial"/>
              <w:noProof/>
              <w:lang w:eastAsia="en-GB"/>
            </w:rPr>
          </w:pPr>
          <w:hyperlink w:anchor="_Toc97120370" w:history="1">
            <w:r w:rsidR="00754203" w:rsidRPr="007019B8">
              <w:rPr>
                <w:rStyle w:val="Hyperlink"/>
                <w:rFonts w:ascii="Arial" w:hAnsi="Arial" w:cs="Arial"/>
                <w:noProof/>
              </w:rPr>
              <w:t>One-line summary</w:t>
            </w:r>
            <w:r w:rsidR="00754203" w:rsidRPr="007019B8">
              <w:rPr>
                <w:rFonts w:ascii="Arial" w:hAnsi="Arial" w:cs="Arial"/>
                <w:noProof/>
                <w:webHidden/>
              </w:rPr>
              <w:tab/>
            </w:r>
            <w:r w:rsidR="00754203" w:rsidRPr="007019B8">
              <w:rPr>
                <w:rFonts w:ascii="Arial" w:hAnsi="Arial" w:cs="Arial"/>
                <w:noProof/>
                <w:webHidden/>
              </w:rPr>
              <w:fldChar w:fldCharType="begin"/>
            </w:r>
            <w:r w:rsidR="00754203" w:rsidRPr="007019B8">
              <w:rPr>
                <w:rFonts w:ascii="Arial" w:hAnsi="Arial" w:cs="Arial"/>
                <w:noProof/>
                <w:webHidden/>
              </w:rPr>
              <w:instrText xml:space="preserve"> PAGEREF _Toc97120370 \h </w:instrText>
            </w:r>
            <w:r w:rsidR="00754203" w:rsidRPr="007019B8">
              <w:rPr>
                <w:rFonts w:ascii="Arial" w:hAnsi="Arial" w:cs="Arial"/>
                <w:noProof/>
                <w:webHidden/>
              </w:rPr>
            </w:r>
            <w:r w:rsidR="00754203" w:rsidRPr="007019B8">
              <w:rPr>
                <w:rFonts w:ascii="Arial" w:hAnsi="Arial" w:cs="Arial"/>
                <w:noProof/>
                <w:webHidden/>
              </w:rPr>
              <w:fldChar w:fldCharType="separate"/>
            </w:r>
            <w:r w:rsidR="00EF70BC">
              <w:rPr>
                <w:rFonts w:ascii="Arial" w:hAnsi="Arial" w:cs="Arial"/>
                <w:noProof/>
                <w:webHidden/>
              </w:rPr>
              <w:t>7</w:t>
            </w:r>
            <w:r w:rsidR="00754203" w:rsidRPr="007019B8">
              <w:rPr>
                <w:rFonts w:ascii="Arial" w:hAnsi="Arial" w:cs="Arial"/>
                <w:noProof/>
                <w:webHidden/>
              </w:rPr>
              <w:fldChar w:fldCharType="end"/>
            </w:r>
          </w:hyperlink>
        </w:p>
        <w:p w14:paraId="3B36D882" w14:textId="04D08FB1" w:rsidR="00754203" w:rsidRPr="007019B8" w:rsidRDefault="005A5065" w:rsidP="00754203">
          <w:pPr>
            <w:pStyle w:val="TOC1"/>
            <w:tabs>
              <w:tab w:val="right" w:leader="dot" w:pos="9016"/>
            </w:tabs>
            <w:rPr>
              <w:rFonts w:ascii="Arial" w:eastAsiaTheme="minorEastAsia" w:hAnsi="Arial" w:cs="Arial"/>
              <w:noProof/>
              <w:lang w:eastAsia="en-GB"/>
            </w:rPr>
          </w:pPr>
          <w:hyperlink w:anchor="_Toc97120371" w:history="1">
            <w:r w:rsidR="00754203" w:rsidRPr="007019B8">
              <w:rPr>
                <w:rStyle w:val="Hyperlink"/>
                <w:rFonts w:ascii="Arial" w:hAnsi="Arial" w:cs="Arial"/>
                <w:noProof/>
              </w:rPr>
              <w:t>Project oversight</w:t>
            </w:r>
            <w:r w:rsidR="00754203" w:rsidRPr="007019B8">
              <w:rPr>
                <w:rFonts w:ascii="Arial" w:hAnsi="Arial" w:cs="Arial"/>
                <w:noProof/>
                <w:webHidden/>
              </w:rPr>
              <w:tab/>
            </w:r>
            <w:r w:rsidR="00754203" w:rsidRPr="007019B8">
              <w:rPr>
                <w:rFonts w:ascii="Arial" w:hAnsi="Arial" w:cs="Arial"/>
                <w:noProof/>
                <w:webHidden/>
              </w:rPr>
              <w:fldChar w:fldCharType="begin"/>
            </w:r>
            <w:r w:rsidR="00754203" w:rsidRPr="007019B8">
              <w:rPr>
                <w:rFonts w:ascii="Arial" w:hAnsi="Arial" w:cs="Arial"/>
                <w:noProof/>
                <w:webHidden/>
              </w:rPr>
              <w:instrText xml:space="preserve"> PAGEREF _Toc97120371 \h </w:instrText>
            </w:r>
            <w:r w:rsidR="00754203" w:rsidRPr="007019B8">
              <w:rPr>
                <w:rFonts w:ascii="Arial" w:hAnsi="Arial" w:cs="Arial"/>
                <w:noProof/>
                <w:webHidden/>
              </w:rPr>
            </w:r>
            <w:r w:rsidR="00754203" w:rsidRPr="007019B8">
              <w:rPr>
                <w:rFonts w:ascii="Arial" w:hAnsi="Arial" w:cs="Arial"/>
                <w:noProof/>
                <w:webHidden/>
              </w:rPr>
              <w:fldChar w:fldCharType="separate"/>
            </w:r>
            <w:r w:rsidR="00EF70BC">
              <w:rPr>
                <w:rFonts w:ascii="Arial" w:hAnsi="Arial" w:cs="Arial"/>
                <w:noProof/>
                <w:webHidden/>
              </w:rPr>
              <w:t>8</w:t>
            </w:r>
            <w:r w:rsidR="00754203" w:rsidRPr="007019B8">
              <w:rPr>
                <w:rFonts w:ascii="Arial" w:hAnsi="Arial" w:cs="Arial"/>
                <w:noProof/>
                <w:webHidden/>
              </w:rPr>
              <w:fldChar w:fldCharType="end"/>
            </w:r>
          </w:hyperlink>
        </w:p>
        <w:p w14:paraId="421CCFFD" w14:textId="3BC69064" w:rsidR="00754203" w:rsidRPr="007019B8" w:rsidRDefault="005A5065" w:rsidP="00754203">
          <w:pPr>
            <w:pStyle w:val="TOC1"/>
            <w:tabs>
              <w:tab w:val="right" w:leader="dot" w:pos="9016"/>
            </w:tabs>
            <w:rPr>
              <w:rFonts w:ascii="Arial" w:eastAsiaTheme="minorEastAsia" w:hAnsi="Arial" w:cs="Arial"/>
              <w:noProof/>
              <w:lang w:eastAsia="en-GB"/>
            </w:rPr>
          </w:pPr>
          <w:hyperlink w:anchor="_Toc97120372" w:history="1">
            <w:r w:rsidR="00754203" w:rsidRPr="007019B8">
              <w:rPr>
                <w:rStyle w:val="Hyperlink"/>
                <w:rFonts w:ascii="Arial" w:hAnsi="Arial" w:cs="Arial"/>
                <w:noProof/>
              </w:rPr>
              <w:t>Audit standards</w:t>
            </w:r>
            <w:r w:rsidR="00754203" w:rsidRPr="007019B8">
              <w:rPr>
                <w:rFonts w:ascii="Arial" w:hAnsi="Arial" w:cs="Arial"/>
                <w:noProof/>
                <w:webHidden/>
              </w:rPr>
              <w:tab/>
            </w:r>
            <w:r w:rsidR="00754203" w:rsidRPr="007019B8">
              <w:rPr>
                <w:rFonts w:ascii="Arial" w:hAnsi="Arial" w:cs="Arial"/>
                <w:noProof/>
                <w:webHidden/>
              </w:rPr>
              <w:fldChar w:fldCharType="begin"/>
            </w:r>
            <w:r w:rsidR="00754203" w:rsidRPr="007019B8">
              <w:rPr>
                <w:rFonts w:ascii="Arial" w:hAnsi="Arial" w:cs="Arial"/>
                <w:noProof/>
                <w:webHidden/>
              </w:rPr>
              <w:instrText xml:space="preserve"> PAGEREF _Toc97120372 \h </w:instrText>
            </w:r>
            <w:r w:rsidR="00754203" w:rsidRPr="007019B8">
              <w:rPr>
                <w:rFonts w:ascii="Arial" w:hAnsi="Arial" w:cs="Arial"/>
                <w:noProof/>
                <w:webHidden/>
              </w:rPr>
            </w:r>
            <w:r w:rsidR="00754203" w:rsidRPr="007019B8">
              <w:rPr>
                <w:rFonts w:ascii="Arial" w:hAnsi="Arial" w:cs="Arial"/>
                <w:noProof/>
                <w:webHidden/>
              </w:rPr>
              <w:fldChar w:fldCharType="separate"/>
            </w:r>
            <w:r w:rsidR="00EF70BC">
              <w:rPr>
                <w:rFonts w:ascii="Arial" w:hAnsi="Arial" w:cs="Arial"/>
                <w:noProof/>
                <w:webHidden/>
              </w:rPr>
              <w:t>9</w:t>
            </w:r>
            <w:r w:rsidR="00754203" w:rsidRPr="007019B8">
              <w:rPr>
                <w:rFonts w:ascii="Arial" w:hAnsi="Arial" w:cs="Arial"/>
                <w:noProof/>
                <w:webHidden/>
              </w:rPr>
              <w:fldChar w:fldCharType="end"/>
            </w:r>
          </w:hyperlink>
        </w:p>
        <w:p w14:paraId="6663F1CD" w14:textId="0B0BC9BD" w:rsidR="00754203" w:rsidRPr="007019B8" w:rsidRDefault="005A5065" w:rsidP="00754203">
          <w:pPr>
            <w:pStyle w:val="TOC1"/>
            <w:tabs>
              <w:tab w:val="right" w:leader="dot" w:pos="9016"/>
            </w:tabs>
            <w:rPr>
              <w:rFonts w:ascii="Arial" w:eastAsiaTheme="minorEastAsia" w:hAnsi="Arial" w:cs="Arial"/>
              <w:noProof/>
              <w:lang w:eastAsia="en-GB"/>
            </w:rPr>
          </w:pPr>
          <w:hyperlink w:anchor="_Toc97120373" w:history="1">
            <w:r w:rsidR="00754203" w:rsidRPr="007019B8">
              <w:rPr>
                <w:rStyle w:val="Hyperlink"/>
                <w:rFonts w:ascii="Arial" w:hAnsi="Arial" w:cs="Arial"/>
                <w:noProof/>
              </w:rPr>
              <w:t>Frequently asked questions</w:t>
            </w:r>
            <w:r w:rsidR="00754203" w:rsidRPr="007019B8">
              <w:rPr>
                <w:rFonts w:ascii="Arial" w:hAnsi="Arial" w:cs="Arial"/>
                <w:noProof/>
                <w:webHidden/>
              </w:rPr>
              <w:tab/>
            </w:r>
            <w:r w:rsidR="00754203" w:rsidRPr="007019B8">
              <w:rPr>
                <w:rFonts w:ascii="Arial" w:hAnsi="Arial" w:cs="Arial"/>
                <w:noProof/>
                <w:webHidden/>
              </w:rPr>
              <w:fldChar w:fldCharType="begin"/>
            </w:r>
            <w:r w:rsidR="00754203" w:rsidRPr="007019B8">
              <w:rPr>
                <w:rFonts w:ascii="Arial" w:hAnsi="Arial" w:cs="Arial"/>
                <w:noProof/>
                <w:webHidden/>
              </w:rPr>
              <w:instrText xml:space="preserve"> PAGEREF _Toc97120373 \h </w:instrText>
            </w:r>
            <w:r w:rsidR="00754203" w:rsidRPr="007019B8">
              <w:rPr>
                <w:rFonts w:ascii="Arial" w:hAnsi="Arial" w:cs="Arial"/>
                <w:noProof/>
                <w:webHidden/>
              </w:rPr>
            </w:r>
            <w:r w:rsidR="00754203" w:rsidRPr="007019B8">
              <w:rPr>
                <w:rFonts w:ascii="Arial" w:hAnsi="Arial" w:cs="Arial"/>
                <w:noProof/>
                <w:webHidden/>
              </w:rPr>
              <w:fldChar w:fldCharType="separate"/>
            </w:r>
            <w:r w:rsidR="00EF70BC">
              <w:rPr>
                <w:rFonts w:ascii="Arial" w:hAnsi="Arial" w:cs="Arial"/>
                <w:noProof/>
                <w:webHidden/>
              </w:rPr>
              <w:t>11</w:t>
            </w:r>
            <w:r w:rsidR="00754203" w:rsidRPr="007019B8">
              <w:rPr>
                <w:rFonts w:ascii="Arial" w:hAnsi="Arial" w:cs="Arial"/>
                <w:noProof/>
                <w:webHidden/>
              </w:rPr>
              <w:fldChar w:fldCharType="end"/>
            </w:r>
          </w:hyperlink>
        </w:p>
        <w:p w14:paraId="23403DF6" w14:textId="682F5C1D" w:rsidR="00754203" w:rsidRPr="007019B8" w:rsidRDefault="005A5065" w:rsidP="00754203">
          <w:pPr>
            <w:pStyle w:val="TOC1"/>
            <w:tabs>
              <w:tab w:val="right" w:leader="dot" w:pos="9016"/>
            </w:tabs>
            <w:rPr>
              <w:rFonts w:ascii="Arial" w:eastAsiaTheme="minorEastAsia" w:hAnsi="Arial" w:cs="Arial"/>
              <w:noProof/>
              <w:lang w:eastAsia="en-GB"/>
            </w:rPr>
          </w:pPr>
          <w:hyperlink w:anchor="_Toc97120374" w:history="1">
            <w:r w:rsidR="00754203" w:rsidRPr="007019B8">
              <w:rPr>
                <w:rStyle w:val="Hyperlink"/>
                <w:rFonts w:ascii="Arial" w:hAnsi="Arial" w:cs="Arial"/>
                <w:noProof/>
              </w:rPr>
              <w:t>Appendix 1: Data to be collected</w:t>
            </w:r>
            <w:r w:rsidR="00754203" w:rsidRPr="007019B8">
              <w:rPr>
                <w:rFonts w:ascii="Arial" w:hAnsi="Arial" w:cs="Arial"/>
                <w:noProof/>
                <w:webHidden/>
              </w:rPr>
              <w:tab/>
            </w:r>
            <w:r w:rsidR="00754203" w:rsidRPr="007019B8">
              <w:rPr>
                <w:rFonts w:ascii="Arial" w:hAnsi="Arial" w:cs="Arial"/>
                <w:noProof/>
                <w:webHidden/>
              </w:rPr>
              <w:fldChar w:fldCharType="begin"/>
            </w:r>
            <w:r w:rsidR="00754203" w:rsidRPr="007019B8">
              <w:rPr>
                <w:rFonts w:ascii="Arial" w:hAnsi="Arial" w:cs="Arial"/>
                <w:noProof/>
                <w:webHidden/>
              </w:rPr>
              <w:instrText xml:space="preserve"> PAGEREF _Toc97120374 \h </w:instrText>
            </w:r>
            <w:r w:rsidR="00754203" w:rsidRPr="007019B8">
              <w:rPr>
                <w:rFonts w:ascii="Arial" w:hAnsi="Arial" w:cs="Arial"/>
                <w:noProof/>
                <w:webHidden/>
              </w:rPr>
            </w:r>
            <w:r w:rsidR="00754203" w:rsidRPr="007019B8">
              <w:rPr>
                <w:rFonts w:ascii="Arial" w:hAnsi="Arial" w:cs="Arial"/>
                <w:noProof/>
                <w:webHidden/>
              </w:rPr>
              <w:fldChar w:fldCharType="separate"/>
            </w:r>
            <w:r w:rsidR="00EF70BC">
              <w:rPr>
                <w:rFonts w:ascii="Arial" w:hAnsi="Arial" w:cs="Arial"/>
                <w:noProof/>
                <w:webHidden/>
              </w:rPr>
              <w:t>13</w:t>
            </w:r>
            <w:r w:rsidR="00754203" w:rsidRPr="007019B8">
              <w:rPr>
                <w:rFonts w:ascii="Arial" w:hAnsi="Arial" w:cs="Arial"/>
                <w:noProof/>
                <w:webHidden/>
              </w:rPr>
              <w:fldChar w:fldCharType="end"/>
            </w:r>
          </w:hyperlink>
        </w:p>
        <w:p w14:paraId="7295BCD6" w14:textId="77777777" w:rsidR="00754203" w:rsidRPr="007019B8" w:rsidRDefault="00754203" w:rsidP="00754203">
          <w:pPr>
            <w:rPr>
              <w:rFonts w:ascii="Arial" w:hAnsi="Arial" w:cs="Arial"/>
            </w:rPr>
          </w:pPr>
          <w:r w:rsidRPr="007019B8">
            <w:rPr>
              <w:rFonts w:ascii="Arial" w:hAnsi="Arial" w:cs="Arial"/>
              <w:b/>
              <w:bCs/>
              <w:noProof/>
            </w:rPr>
            <w:fldChar w:fldCharType="end"/>
          </w:r>
        </w:p>
      </w:sdtContent>
    </w:sdt>
    <w:p w14:paraId="757A5FF7" w14:textId="77777777" w:rsidR="00754203" w:rsidRPr="007019B8" w:rsidRDefault="00754203" w:rsidP="00754203">
      <w:pPr>
        <w:rPr>
          <w:rFonts w:ascii="Arial" w:eastAsiaTheme="majorEastAsia" w:hAnsi="Arial" w:cs="Arial"/>
          <w:b/>
          <w:bCs/>
          <w:sz w:val="32"/>
          <w:szCs w:val="32"/>
        </w:rPr>
      </w:pPr>
      <w:r w:rsidRPr="007019B8">
        <w:rPr>
          <w:rFonts w:ascii="Arial" w:hAnsi="Arial" w:cs="Arial"/>
          <w:b/>
          <w:bCs/>
        </w:rPr>
        <w:br w:type="page"/>
      </w:r>
    </w:p>
    <w:p w14:paraId="72C07B3E" w14:textId="77777777" w:rsidR="00754203" w:rsidRPr="007019B8" w:rsidRDefault="00754203" w:rsidP="00754203">
      <w:pPr>
        <w:pStyle w:val="Heading1"/>
        <w:rPr>
          <w:rFonts w:ascii="Arial" w:hAnsi="Arial" w:cs="Arial"/>
          <w:b/>
          <w:bCs/>
          <w:color w:val="auto"/>
        </w:rPr>
      </w:pPr>
      <w:bookmarkStart w:id="0" w:name="_Toc97120366"/>
      <w:r w:rsidRPr="007019B8">
        <w:rPr>
          <w:rFonts w:ascii="Arial" w:hAnsi="Arial" w:cs="Arial"/>
          <w:b/>
          <w:bCs/>
          <w:color w:val="auto"/>
        </w:rPr>
        <w:lastRenderedPageBreak/>
        <w:t>Welcome</w:t>
      </w:r>
      <w:bookmarkEnd w:id="0"/>
    </w:p>
    <w:p w14:paraId="5D44E4BF" w14:textId="77777777" w:rsidR="00754203" w:rsidRPr="007019B8" w:rsidRDefault="00754203" w:rsidP="00754203">
      <w:pPr>
        <w:rPr>
          <w:rFonts w:ascii="Arial" w:hAnsi="Arial" w:cs="Arial"/>
        </w:rPr>
      </w:pPr>
      <w:r w:rsidRPr="007019B8">
        <w:rPr>
          <w:rFonts w:ascii="Arial" w:hAnsi="Arial" w:cs="Arial"/>
        </w:rPr>
        <w:t xml:space="preserve">Please use this document to guide your local audit department registration. As every organisation is different, this is not a simple ‘plug in and play’ guide but it should include all the information you require. If you need any further information or have any questions, please email </w:t>
      </w:r>
      <w:r>
        <w:rPr>
          <w:rFonts w:ascii="Arial" w:hAnsi="Arial" w:cs="Arial"/>
        </w:rPr>
        <w:t>project</w:t>
      </w:r>
      <w:r w:rsidRPr="007019B8">
        <w:rPr>
          <w:rFonts w:ascii="Arial" w:hAnsi="Arial" w:cs="Arial"/>
        </w:rPr>
        <w:t xml:space="preserve"> lead</w:t>
      </w:r>
      <w:r>
        <w:rPr>
          <w:rFonts w:ascii="Arial" w:hAnsi="Arial" w:cs="Arial"/>
        </w:rPr>
        <w:t>,</w:t>
      </w:r>
      <w:r w:rsidRPr="007019B8">
        <w:rPr>
          <w:rFonts w:ascii="Arial" w:hAnsi="Arial" w:cs="Arial"/>
        </w:rPr>
        <w:t xml:space="preserve"> Richard Buka – </w:t>
      </w:r>
      <w:hyperlink r:id="rId10" w:history="1">
        <w:r w:rsidRPr="007019B8">
          <w:rPr>
            <w:rStyle w:val="Hyperlink"/>
            <w:rFonts w:ascii="Arial" w:hAnsi="Arial" w:cs="Arial"/>
          </w:rPr>
          <w:t>richard.buka@nhs.net</w:t>
        </w:r>
      </w:hyperlink>
      <w:r w:rsidRPr="007019B8">
        <w:rPr>
          <w:rFonts w:ascii="Arial" w:hAnsi="Arial" w:cs="Arial"/>
        </w:rPr>
        <w:t xml:space="preserve">. </w:t>
      </w:r>
    </w:p>
    <w:p w14:paraId="37084A87" w14:textId="77777777" w:rsidR="00754203" w:rsidRPr="007019B8" w:rsidRDefault="00754203" w:rsidP="00754203">
      <w:pPr>
        <w:rPr>
          <w:rFonts w:ascii="Arial" w:hAnsi="Arial" w:cs="Arial"/>
        </w:rPr>
      </w:pPr>
      <w:r w:rsidRPr="007019B8">
        <w:rPr>
          <w:rFonts w:ascii="Arial" w:hAnsi="Arial" w:cs="Arial"/>
        </w:rPr>
        <w:t xml:space="preserve">We have also tried to pre-empt any questions that your audit department may raise. These questions and their answers can be found </w:t>
      </w:r>
      <w:r>
        <w:rPr>
          <w:rFonts w:ascii="Arial" w:hAnsi="Arial" w:cs="Arial"/>
        </w:rPr>
        <w:t>in</w:t>
      </w:r>
      <w:r w:rsidRPr="007019B8">
        <w:rPr>
          <w:rFonts w:ascii="Arial" w:hAnsi="Arial" w:cs="Arial"/>
        </w:rPr>
        <w:t xml:space="preserve"> this document. </w:t>
      </w:r>
    </w:p>
    <w:p w14:paraId="54200066" w14:textId="77777777" w:rsidR="00754203" w:rsidRPr="007019B8" w:rsidRDefault="00754203" w:rsidP="00754203">
      <w:pPr>
        <w:rPr>
          <w:rFonts w:ascii="Arial" w:hAnsi="Arial" w:cs="Arial"/>
        </w:rPr>
      </w:pPr>
      <w:r w:rsidRPr="007019B8">
        <w:rPr>
          <w:rFonts w:ascii="Arial" w:hAnsi="Arial" w:cs="Arial"/>
          <w:b/>
          <w:bCs/>
        </w:rPr>
        <w:br w:type="page"/>
      </w:r>
    </w:p>
    <w:tbl>
      <w:tblPr>
        <w:tblStyle w:val="TableGrid"/>
        <w:tblpPr w:leftFromText="180" w:rightFromText="180" w:vertAnchor="page" w:horzAnchor="margin" w:tblpY="1606"/>
        <w:tblW w:w="9046" w:type="dxa"/>
        <w:tblLook w:val="04A0" w:firstRow="1" w:lastRow="0" w:firstColumn="1" w:lastColumn="0" w:noHBand="0" w:noVBand="1"/>
      </w:tblPr>
      <w:tblGrid>
        <w:gridCol w:w="2129"/>
        <w:gridCol w:w="6917"/>
      </w:tblGrid>
      <w:tr w:rsidR="00754203" w:rsidRPr="007019B8" w14:paraId="2ACF67C4" w14:textId="77777777" w:rsidTr="00D059D8">
        <w:trPr>
          <w:trHeight w:val="1132"/>
        </w:trPr>
        <w:tc>
          <w:tcPr>
            <w:tcW w:w="9046" w:type="dxa"/>
            <w:gridSpan w:val="2"/>
            <w:vAlign w:val="center"/>
          </w:tcPr>
          <w:p w14:paraId="6ABC1D59" w14:textId="77777777" w:rsidR="00754203" w:rsidRPr="007019B8" w:rsidRDefault="00754203" w:rsidP="00D059D8">
            <w:pPr>
              <w:pStyle w:val="Heading1"/>
              <w:spacing w:before="0"/>
              <w:outlineLvl w:val="0"/>
              <w:rPr>
                <w:rFonts w:ascii="Arial" w:hAnsi="Arial" w:cs="Arial"/>
                <w:b/>
                <w:bCs/>
                <w:color w:val="auto"/>
              </w:rPr>
            </w:pPr>
            <w:bookmarkStart w:id="1" w:name="_Toc97120367"/>
            <w:r w:rsidRPr="007019B8">
              <w:rPr>
                <w:rFonts w:ascii="Arial" w:hAnsi="Arial" w:cs="Arial"/>
                <w:b/>
                <w:bCs/>
                <w:color w:val="auto"/>
              </w:rPr>
              <w:lastRenderedPageBreak/>
              <w:t>Local audit registration</w:t>
            </w:r>
            <w:bookmarkEnd w:id="1"/>
          </w:p>
          <w:p w14:paraId="4DBEC66F" w14:textId="77777777" w:rsidR="00754203" w:rsidRPr="007019B8" w:rsidRDefault="00754203" w:rsidP="00D059D8">
            <w:pPr>
              <w:pStyle w:val="Heading1"/>
              <w:spacing w:before="0"/>
              <w:outlineLvl w:val="0"/>
              <w:rPr>
                <w:rFonts w:ascii="Arial" w:hAnsi="Arial" w:cs="Arial"/>
                <w:color w:val="auto"/>
              </w:rPr>
            </w:pPr>
            <w:bookmarkStart w:id="2" w:name="_Toc97120368"/>
            <w:r w:rsidRPr="007019B8">
              <w:rPr>
                <w:rFonts w:ascii="Arial" w:hAnsi="Arial" w:cs="Arial"/>
                <w:b/>
                <w:bCs/>
                <w:color w:val="auto"/>
              </w:rPr>
              <w:t>Quick-start guide</w:t>
            </w:r>
            <w:bookmarkEnd w:id="2"/>
          </w:p>
        </w:tc>
      </w:tr>
      <w:tr w:rsidR="00754203" w:rsidRPr="007019B8" w14:paraId="463F1802" w14:textId="77777777" w:rsidTr="00D059D8">
        <w:trPr>
          <w:trHeight w:val="928"/>
        </w:trPr>
        <w:tc>
          <w:tcPr>
            <w:tcW w:w="2129" w:type="dxa"/>
            <w:vAlign w:val="center"/>
          </w:tcPr>
          <w:p w14:paraId="71CCA311" w14:textId="77777777" w:rsidR="00754203" w:rsidRPr="007019B8" w:rsidRDefault="00754203" w:rsidP="00D059D8">
            <w:pPr>
              <w:rPr>
                <w:rFonts w:ascii="Arial" w:hAnsi="Arial" w:cs="Arial"/>
              </w:rPr>
            </w:pPr>
            <w:r w:rsidRPr="007019B8">
              <w:rPr>
                <w:rFonts w:ascii="Arial" w:hAnsi="Arial" w:cs="Arial"/>
              </w:rPr>
              <w:t>Audit title</w:t>
            </w:r>
          </w:p>
        </w:tc>
        <w:tc>
          <w:tcPr>
            <w:tcW w:w="6916" w:type="dxa"/>
            <w:vAlign w:val="center"/>
          </w:tcPr>
          <w:p w14:paraId="5298AD59" w14:textId="77777777" w:rsidR="00754203" w:rsidRPr="007019B8" w:rsidRDefault="00754203" w:rsidP="00D059D8">
            <w:pPr>
              <w:rPr>
                <w:rFonts w:ascii="Arial" w:hAnsi="Arial" w:cs="Arial"/>
              </w:rPr>
            </w:pPr>
            <w:r w:rsidRPr="007019B8">
              <w:rPr>
                <w:rFonts w:ascii="Arial" w:hAnsi="Arial" w:cs="Arial"/>
              </w:rPr>
              <w:t xml:space="preserve">A ‘Flash-Mob’ UK national audit of the use of </w:t>
            </w:r>
            <w:r w:rsidRPr="007019B8">
              <w:rPr>
                <w:rFonts w:ascii="Arial" w:hAnsi="Arial" w:cs="Arial"/>
                <w:b/>
                <w:bCs/>
                <w:u w:val="single"/>
              </w:rPr>
              <w:t>R</w:t>
            </w:r>
            <w:r w:rsidRPr="007019B8">
              <w:rPr>
                <w:rFonts w:ascii="Arial" w:hAnsi="Arial" w:cs="Arial"/>
              </w:rPr>
              <w:t xml:space="preserve">eversal </w:t>
            </w:r>
            <w:r w:rsidRPr="007019B8">
              <w:rPr>
                <w:rFonts w:ascii="Arial" w:hAnsi="Arial" w:cs="Arial"/>
                <w:b/>
                <w:bCs/>
                <w:u w:val="single"/>
              </w:rPr>
              <w:t>A</w:t>
            </w:r>
            <w:r w:rsidRPr="007019B8">
              <w:rPr>
                <w:rFonts w:ascii="Arial" w:hAnsi="Arial" w:cs="Arial"/>
              </w:rPr>
              <w:t xml:space="preserve">gents in </w:t>
            </w:r>
            <w:r w:rsidRPr="007019B8">
              <w:rPr>
                <w:rFonts w:ascii="Arial" w:hAnsi="Arial" w:cs="Arial"/>
                <w:b/>
                <w:bCs/>
                <w:u w:val="single"/>
              </w:rPr>
              <w:t>P</w:t>
            </w:r>
            <w:r w:rsidRPr="007019B8">
              <w:rPr>
                <w:rFonts w:ascii="Arial" w:hAnsi="Arial" w:cs="Arial"/>
              </w:rPr>
              <w:t>atients ant</w:t>
            </w:r>
            <w:r w:rsidRPr="007019B8">
              <w:rPr>
                <w:rFonts w:ascii="Arial" w:hAnsi="Arial" w:cs="Arial"/>
                <w:b/>
                <w:bCs/>
                <w:u w:val="single"/>
              </w:rPr>
              <w:t>I</w:t>
            </w:r>
            <w:r w:rsidRPr="007019B8">
              <w:rPr>
                <w:rFonts w:ascii="Arial" w:hAnsi="Arial" w:cs="Arial"/>
              </w:rPr>
              <w:t xml:space="preserve">coagulated with </w:t>
            </w:r>
            <w:r w:rsidRPr="007019B8">
              <w:rPr>
                <w:rFonts w:ascii="Arial" w:hAnsi="Arial" w:cs="Arial"/>
                <w:b/>
                <w:bCs/>
                <w:u w:val="single"/>
              </w:rPr>
              <w:t>D</w:t>
            </w:r>
            <w:r w:rsidRPr="007019B8">
              <w:rPr>
                <w:rFonts w:ascii="Arial" w:hAnsi="Arial" w:cs="Arial"/>
              </w:rPr>
              <w:t xml:space="preserve">irect </w:t>
            </w:r>
            <w:r w:rsidRPr="007019B8">
              <w:rPr>
                <w:rFonts w:ascii="Arial" w:hAnsi="Arial" w:cs="Arial"/>
                <w:b/>
                <w:bCs/>
                <w:u w:val="single"/>
              </w:rPr>
              <w:t>O</w:t>
            </w:r>
            <w:r w:rsidRPr="007019B8">
              <w:rPr>
                <w:rFonts w:ascii="Arial" w:hAnsi="Arial" w:cs="Arial"/>
              </w:rPr>
              <w:t>ral anticoagulants (HaemSTAR RAPIDO)</w:t>
            </w:r>
          </w:p>
        </w:tc>
      </w:tr>
      <w:tr w:rsidR="00754203" w:rsidRPr="007019B8" w14:paraId="20DCD1AF" w14:textId="77777777" w:rsidTr="00D059D8">
        <w:trPr>
          <w:trHeight w:val="315"/>
        </w:trPr>
        <w:tc>
          <w:tcPr>
            <w:tcW w:w="2129" w:type="dxa"/>
            <w:vAlign w:val="center"/>
          </w:tcPr>
          <w:p w14:paraId="7D88D50C" w14:textId="77777777" w:rsidR="00754203" w:rsidRPr="007019B8" w:rsidRDefault="00754203" w:rsidP="00D059D8">
            <w:pPr>
              <w:rPr>
                <w:rFonts w:ascii="Arial" w:hAnsi="Arial" w:cs="Arial"/>
              </w:rPr>
            </w:pPr>
            <w:r w:rsidRPr="007019B8">
              <w:rPr>
                <w:rFonts w:ascii="Arial" w:hAnsi="Arial" w:cs="Arial"/>
              </w:rPr>
              <w:t>Main speciality</w:t>
            </w:r>
          </w:p>
        </w:tc>
        <w:tc>
          <w:tcPr>
            <w:tcW w:w="6916" w:type="dxa"/>
            <w:vAlign w:val="center"/>
          </w:tcPr>
          <w:p w14:paraId="056222C7" w14:textId="77777777" w:rsidR="00754203" w:rsidRPr="007019B8" w:rsidRDefault="00754203" w:rsidP="00D059D8">
            <w:pPr>
              <w:rPr>
                <w:rFonts w:ascii="Arial" w:hAnsi="Arial" w:cs="Arial"/>
              </w:rPr>
            </w:pPr>
            <w:r w:rsidRPr="007019B8">
              <w:rPr>
                <w:rFonts w:ascii="Arial" w:hAnsi="Arial" w:cs="Arial"/>
              </w:rPr>
              <w:t>Clinical Haematology</w:t>
            </w:r>
          </w:p>
        </w:tc>
      </w:tr>
      <w:tr w:rsidR="00754203" w:rsidRPr="007019B8" w14:paraId="48A39C54" w14:textId="77777777" w:rsidTr="00D059D8">
        <w:trPr>
          <w:trHeight w:val="297"/>
        </w:trPr>
        <w:tc>
          <w:tcPr>
            <w:tcW w:w="2129" w:type="dxa"/>
            <w:vAlign w:val="center"/>
          </w:tcPr>
          <w:p w14:paraId="5264F28D" w14:textId="77777777" w:rsidR="00754203" w:rsidRPr="007019B8" w:rsidRDefault="00754203" w:rsidP="00D059D8">
            <w:pPr>
              <w:rPr>
                <w:rFonts w:ascii="Arial" w:hAnsi="Arial" w:cs="Arial"/>
              </w:rPr>
            </w:pPr>
            <w:r w:rsidRPr="007019B8">
              <w:rPr>
                <w:rFonts w:ascii="Arial" w:hAnsi="Arial" w:cs="Arial"/>
              </w:rPr>
              <w:t>Supervisor</w:t>
            </w:r>
          </w:p>
        </w:tc>
        <w:tc>
          <w:tcPr>
            <w:tcW w:w="6916" w:type="dxa"/>
            <w:vAlign w:val="center"/>
          </w:tcPr>
          <w:p w14:paraId="05B9EC1C" w14:textId="77777777" w:rsidR="00754203" w:rsidRPr="007019B8" w:rsidRDefault="00754203" w:rsidP="00D059D8">
            <w:pPr>
              <w:rPr>
                <w:rFonts w:ascii="Arial" w:hAnsi="Arial" w:cs="Arial"/>
              </w:rPr>
            </w:pPr>
            <w:r w:rsidRPr="007019B8">
              <w:rPr>
                <w:rFonts w:ascii="Arial" w:hAnsi="Arial" w:cs="Arial"/>
                <w:i/>
                <w:iCs/>
              </w:rPr>
              <w:t>Please insert name of local haematology consultant</w:t>
            </w:r>
          </w:p>
        </w:tc>
      </w:tr>
      <w:tr w:rsidR="00754203" w:rsidRPr="007019B8" w14:paraId="3150D572" w14:textId="77777777" w:rsidTr="00D059D8">
        <w:trPr>
          <w:trHeight w:val="631"/>
        </w:trPr>
        <w:tc>
          <w:tcPr>
            <w:tcW w:w="2129" w:type="dxa"/>
            <w:vAlign w:val="center"/>
          </w:tcPr>
          <w:p w14:paraId="47B11829" w14:textId="77777777" w:rsidR="00754203" w:rsidRPr="007019B8" w:rsidRDefault="00754203" w:rsidP="00D059D8">
            <w:pPr>
              <w:rPr>
                <w:rFonts w:ascii="Arial" w:hAnsi="Arial" w:cs="Arial"/>
              </w:rPr>
            </w:pPr>
            <w:r w:rsidRPr="007019B8">
              <w:rPr>
                <w:rFonts w:ascii="Arial" w:hAnsi="Arial" w:cs="Arial"/>
              </w:rPr>
              <w:t>Aims</w:t>
            </w:r>
          </w:p>
        </w:tc>
        <w:tc>
          <w:tcPr>
            <w:tcW w:w="6916" w:type="dxa"/>
            <w:vAlign w:val="center"/>
          </w:tcPr>
          <w:p w14:paraId="6FF8A7F8" w14:textId="77777777" w:rsidR="00754203" w:rsidRPr="007019B8" w:rsidRDefault="00754203" w:rsidP="00D059D8">
            <w:pPr>
              <w:rPr>
                <w:rFonts w:ascii="Arial" w:hAnsi="Arial" w:cs="Arial"/>
              </w:rPr>
            </w:pPr>
            <w:r w:rsidRPr="007019B8">
              <w:rPr>
                <w:rFonts w:ascii="Arial" w:hAnsi="Arial" w:cs="Arial"/>
              </w:rPr>
              <w:t>To audit the use of reversal agents for patients taking direct oral anticoagulants who present with bleeding</w:t>
            </w:r>
          </w:p>
        </w:tc>
      </w:tr>
      <w:tr w:rsidR="00754203" w:rsidRPr="007019B8" w14:paraId="5FF923FD" w14:textId="77777777" w:rsidTr="00D059D8">
        <w:trPr>
          <w:trHeight w:val="6405"/>
        </w:trPr>
        <w:tc>
          <w:tcPr>
            <w:tcW w:w="2129" w:type="dxa"/>
            <w:vAlign w:val="center"/>
          </w:tcPr>
          <w:p w14:paraId="0519561A" w14:textId="77777777" w:rsidR="00754203" w:rsidRPr="007019B8" w:rsidRDefault="00754203" w:rsidP="00D059D8">
            <w:pPr>
              <w:rPr>
                <w:rFonts w:ascii="Arial" w:hAnsi="Arial" w:cs="Arial"/>
              </w:rPr>
            </w:pPr>
            <w:r w:rsidRPr="007019B8">
              <w:rPr>
                <w:rFonts w:ascii="Arial" w:hAnsi="Arial" w:cs="Arial"/>
              </w:rPr>
              <w:t>Objectives</w:t>
            </w:r>
          </w:p>
        </w:tc>
        <w:tc>
          <w:tcPr>
            <w:tcW w:w="6916" w:type="dxa"/>
            <w:vAlign w:val="center"/>
          </w:tcPr>
          <w:p w14:paraId="3808D533" w14:textId="77777777" w:rsidR="00754203" w:rsidRPr="007019B8" w:rsidRDefault="00754203" w:rsidP="00D059D8">
            <w:pPr>
              <w:rPr>
                <w:rFonts w:ascii="Arial" w:hAnsi="Arial" w:cs="Arial"/>
                <w:b/>
                <w:bCs/>
              </w:rPr>
            </w:pPr>
            <w:r w:rsidRPr="007019B8">
              <w:rPr>
                <w:rFonts w:ascii="Arial" w:hAnsi="Arial" w:cs="Arial"/>
                <w:b/>
                <w:bCs/>
              </w:rPr>
              <w:t xml:space="preserve">Primary: </w:t>
            </w:r>
          </w:p>
          <w:p w14:paraId="45E7D061" w14:textId="77777777" w:rsidR="00754203" w:rsidRPr="007019B8" w:rsidRDefault="00754203" w:rsidP="00754203">
            <w:pPr>
              <w:pStyle w:val="ListParagraph"/>
              <w:numPr>
                <w:ilvl w:val="0"/>
                <w:numId w:val="16"/>
              </w:numPr>
              <w:spacing w:after="0" w:line="240" w:lineRule="auto"/>
              <w:rPr>
                <w:rFonts w:ascii="Arial" w:hAnsi="Arial" w:cs="Arial"/>
              </w:rPr>
            </w:pPr>
            <w:r w:rsidRPr="007019B8">
              <w:rPr>
                <w:rFonts w:ascii="Arial" w:hAnsi="Arial" w:cs="Arial"/>
              </w:rPr>
              <w:t>To audit the use of reversal agents for anticoagulation against clinical guidelines</w:t>
            </w:r>
            <w:r w:rsidRPr="007019B8">
              <w:rPr>
                <w:rFonts w:ascii="Arial" w:hAnsi="Arial" w:cs="Arial"/>
              </w:rPr>
              <w:fldChar w:fldCharType="begin" w:fldLock="1"/>
            </w:r>
            <w:r>
              <w:rPr>
                <w:rFonts w:ascii="Arial" w:hAnsi="Arial" w:cs="Arial"/>
              </w:rPr>
              <w:instrText>ADDIN CSL_CITATION {"citationItems":[{"id":"ITEM-1","itemData":{"DOI":"10.1111/bjh.12107","ISSN":"00071048","PMID":"23116425","author":[{"dropping-particle":"","family":"Makris","given":"Mike","non-dropping-particle":"","parse-names":false,"suffix":""},{"dropping-particle":"","family":"Veen","given":"Joost J.","non-dropping-particle":"Van","parse-names":false,"suffix":""},{"dropping-particle":"","family":"Tait","given":"Campbell R.","non-dropping-particle":"","parse-names":false,"suffix":""},{"dropping-particle":"","family":"Mumford","given":"Andrew D.","non-dropping-particle":"","parse-names":false,"suffix":""},{"dropping-particle":"","family":"Laffan","given":"Mike","non-dropping-particle":"","parse-names":false,"suffix":""}],"container-title":"British Journal of Haematology","id":"ITEM-1","issue":"1","issued":{"date-parts":[["2013"]]},"page":"35-46","title":"Guideline on the management of bleeding in patients on antithrombotic agents","type":"article-journal","volume":"160"},"uris":["http://www.mendeley.com/documents/?uuid=9a65d2bf-b173-41e7-a3bf-cad3c062e1d4"]},{"id":"ITEM-2","itemData":{"DOI":"10.1111/bjh.12107","ISSN":"00071048","PMID":"23116425","author":[{"dropping-particle":"","family":"Alikhan","given":"Raza","non-dropping-particle":"","parse-names":false,"suffix":""}],"container-title":"British Journal of Haematology","id":"ITEM-2","issued":{"date-parts":[["2018"]]},"title":"Addendum to guideline on the management of bleeding in patients on antithrombotic agents","type":"article-journal"},"uris":["http://www.mendeley.com/documents/?uuid=815e36bb-e185-4984-83b6-4f57d0b1f7d3"]},{"id":"ITEM-3","itemData":{"DOI":"10.1016/j.chest.2018.07.040","ISSN":"19313543","PMID":"30144419","abstract":"Background: The risk of stroke is heterogeneous across different groups of patients with atrial fibrillation (AF), being dependent on the presence of various stroke risk factors. We provide recommendations for antithrombotic treatment based on net clinical benefit for patients with AF at varying levels of stroke risk and in a number of common clinical scenarios. Methods: Systematic literature reviews were conducted to identify relevant articles published from the last formal search perfomed for the Antithrombotic and Thrombolytic Therapy: American College of Chest Physicians Evidence-Based Clinical Practice Guidelines (9th Edition). The overall quality of the evidence was assessed using the GRADE (Grading of Recommendations, Assessment, Development, and Evaluation) approach. Graded recommendations and ungraded consensus-based statements were drafted, voted on, and revised until consensus was reached. Results: For patients with AF without valvular heart disease, including those with paroxysmal AF, who are at low risk of stroke (eg, CHA2DS2-VASc [congestive heart failure, hypertension, age ≥ 75 (doubled), diabetes, stroke (doubled)-vascular disease, age 65-74 and sex category (female)] score of 0 in males or 1 in females), we suggest no antithrombotic therapy. The next step is to consider stroke prevention (ie, oral anticoagulation therapy) for patients with 1 or more non-sex CHA2DS2-VASc stroke risk factors. For patients with a single non-sex CHA2DS2-VASc stroke risk factor, we suggest oral anticoagulation rather than no therapy, aspirin, or combination therapy with aspirin and clopidogrel; and for those at high risk of stroke (eg, CHA2DS2-VASc ≥ 2 in males or ≥ 3 in females), we recommend oral anticoagulation rather than no therapy, aspirin, or combination therapy with aspirin and clopidogrel. Where we recommend or suggest in favor of oral anticoagulation, we suggest using a non-vitamin K antagonist oral anticoagulant drug rather than adjusted-dose vitamin K antagonist therapy. With the latter, it is important to aim for good quality anticoagulation control with a time in therapeutic range &gt; 70%. Attention to modifiable bleeding risk factors (eg, uncontrolled BP, labile international normalized ratios, concomitant use of aspirin or nonsteroidal antiinflammatory drugs in an anticoagulated patient, alcohol excess) should be made at each patient contact, and HAS-BLED (hypertension, abnormal renal/liver function [1 point each], stroke, bleeding history or p…","author":[{"dropping-particle":"","family":"Lip","given":"Gregory Y.H.","non-dropping-particle":"","parse-names":false,"suffix":""},{"dropping-particle":"","family":"Banerjee","given":"Amitava","non-dropping-particle":"","parse-names":false,"suffix":""},{"dropping-particle":"","family":"Boriani","given":"Giuseppe","non-dropping-particle":"","parse-names":false,"suffix":""},{"dropping-particle":"","family":"Chiang","given":"Chern en","non-dropping-particle":"","parse-names":false,"suffix":""},{"dropping-particle":"","family":"Fargo","given":"Ramiz","non-dropping-particle":"","parse-names":false,"suffix":""},{"dropping-particle":"","family":"Freedman","given":"Ben","non-dropping-particle":"","parse-names":false,"suffix":""},{"dropping-particle":"","family":"Lane","given":"Deirdre A.","non-dropping-particle":"","parse-names":false,"suffix":""},{"dropping-particle":"","family":"Ruff","given":"Christian T.","non-dropping-particle":"","parse-names":false,"suffix":""},{"dropping-particle":"","family":"Turakhia","given":"Mintu","non-dropping-particle":"","parse-names":false,"suffix":""},{"dropping-particle":"","family":"Werring","given":"David","non-dropping-particle":"","parse-names":false,"suffix":""},{"dropping-particle":"","family":"Patel","given":"Sheena","non-dropping-particle":"","parse-names":false,"suffix":""},{"dropping-particle":"","family":"Moores","given":"Lisa","non-dropping-particle":"","parse-names":false,"suffix":""}],"container-title":"Chest","id":"ITEM-3","issue":"5","issued":{"date-parts":[["2018"]]},"page":"1121-1201","publisher":"Elsevier Inc","title":"Antithrombotic Therapy for Atrial Fibrillation: CHEST Guideline and Expert Panel Report","type":"article-journal","volume":"154"},"uris":["http://www.mendeley.com/documents/?uuid=84a5ce07-ee7a-419c-a414-6c233b2c27b0"]}],"mendeley":{"formattedCitation":"&lt;sup&gt;&lt;sup&gt;1&lt;/sup&gt;–&lt;sup&gt;3&lt;/sup&gt;&lt;/sup&gt;","plainTextFormattedCitation":"1–3","previouslyFormattedCitation":"&lt;sup&gt;&lt;sup&gt;1&lt;/sup&gt;,&lt;sup&gt;2&lt;/sup&gt;,&lt;sup&gt;7&lt;/sup&gt;&lt;/sup&gt;"},"properties":{"noteIndex":0},"schema":"https://github.com/citation-style-language/schema/raw/master/csl-citation.json"}</w:instrText>
            </w:r>
            <w:r w:rsidRPr="007019B8">
              <w:rPr>
                <w:rFonts w:ascii="Arial" w:hAnsi="Arial" w:cs="Arial"/>
              </w:rPr>
              <w:fldChar w:fldCharType="separate"/>
            </w:r>
            <w:r w:rsidRPr="002033FC">
              <w:rPr>
                <w:rFonts w:ascii="Arial" w:hAnsi="Arial" w:cs="Arial"/>
                <w:noProof/>
                <w:vertAlign w:val="superscript"/>
              </w:rPr>
              <w:t>1–3</w:t>
            </w:r>
            <w:r w:rsidRPr="007019B8">
              <w:rPr>
                <w:rFonts w:ascii="Arial" w:hAnsi="Arial" w:cs="Arial"/>
              </w:rPr>
              <w:fldChar w:fldCharType="end"/>
            </w:r>
            <w:r w:rsidRPr="007019B8">
              <w:rPr>
                <w:rFonts w:ascii="Arial" w:hAnsi="Arial" w:cs="Arial"/>
              </w:rPr>
              <w:t xml:space="preserve"> and national body recommendations (see page 3).</w:t>
            </w:r>
            <w:r w:rsidRPr="007019B8">
              <w:rPr>
                <w:rFonts w:ascii="Arial" w:hAnsi="Arial" w:cs="Arial"/>
              </w:rPr>
              <w:fldChar w:fldCharType="begin" w:fldLock="1"/>
            </w:r>
            <w:r>
              <w:rPr>
                <w:rFonts w:ascii="Arial" w:hAnsi="Arial" w:cs="Arial"/>
              </w:rPr>
              <w:instrText>ADDIN CSL_CITATION {"citationItems":[{"id":"ITEM-1","itemData":{"author":[{"dropping-particle":"","family":"National Institute for Health and Clinical Excellence","given":"","non-dropping-particle":"","parse-names":false,"suffix":""}],"id":"ITEM-1","issue":"September 2020","issued":{"date-parts":[["0"]]},"page":"1-18","title":"Appraisal consultation document Andexanet alfa for reversing anticoagulation from apixaban or rivaroxaban","type":"article-journal"},"uris":["http://www.mendeley.com/documents/?uuid=c4529331-dbf7-46ea-9898-bca7971cf13d"]},{"id":"ITEM-2","itemData":{"URL":"https://www.scottishmedicines.org.uk/medicines-advice/andexanet-alfa-ondexxya-full-smc2273/","accessed":{"date-parts":[["2020","10","13"]]},"author":[{"dropping-particle":"","family":"Scottish Medicines Consortium","given":"","non-dropping-particle":"","parse-names":false,"suffix":""}],"id":"ITEM-2","issued":{"date-parts":[["2020"]]},"title":"Andexanet alfa (Ondexxya)","type":"webpage"},"uris":["http://www.mendeley.com/documents/?uuid=904146e2-fd45-38fb-82aa-b516f40f13a2"]}],"mendeley":{"formattedCitation":"&lt;sup&gt;&lt;sup&gt;4&lt;/sup&gt;,&lt;sup&gt;5&lt;/sup&gt;&lt;/sup&gt;","plainTextFormattedCitation":"4,5","previouslyFormattedCitation":"&lt;sup&gt;&lt;sup&gt;3&lt;/sup&gt;,&lt;sup&gt;4&lt;/sup&gt;&lt;/sup&gt;"},"properties":{"noteIndex":0},"schema":"https://github.com/citation-style-language/schema/raw/master/csl-citation.json"}</w:instrText>
            </w:r>
            <w:r w:rsidRPr="007019B8">
              <w:rPr>
                <w:rFonts w:ascii="Arial" w:hAnsi="Arial" w:cs="Arial"/>
              </w:rPr>
              <w:fldChar w:fldCharType="separate"/>
            </w:r>
            <w:r w:rsidRPr="002033FC">
              <w:rPr>
                <w:rFonts w:ascii="Arial" w:hAnsi="Arial" w:cs="Arial"/>
                <w:noProof/>
                <w:vertAlign w:val="superscript"/>
              </w:rPr>
              <w:t>4,5</w:t>
            </w:r>
            <w:r w:rsidRPr="007019B8">
              <w:rPr>
                <w:rFonts w:ascii="Arial" w:hAnsi="Arial" w:cs="Arial"/>
              </w:rPr>
              <w:fldChar w:fldCharType="end"/>
            </w:r>
            <w:r w:rsidRPr="007019B8">
              <w:rPr>
                <w:rFonts w:ascii="Arial" w:hAnsi="Arial" w:cs="Arial"/>
              </w:rPr>
              <w:t xml:space="preserve"> </w:t>
            </w:r>
          </w:p>
          <w:p w14:paraId="693204AF" w14:textId="77777777" w:rsidR="00754203" w:rsidRPr="007019B8" w:rsidRDefault="00754203" w:rsidP="00D059D8">
            <w:pPr>
              <w:rPr>
                <w:rFonts w:ascii="Arial" w:hAnsi="Arial" w:cs="Arial"/>
                <w:b/>
                <w:bCs/>
              </w:rPr>
            </w:pPr>
          </w:p>
          <w:p w14:paraId="3EEA998C" w14:textId="77777777" w:rsidR="00754203" w:rsidRPr="007019B8" w:rsidRDefault="00754203" w:rsidP="00D059D8">
            <w:pPr>
              <w:rPr>
                <w:rFonts w:ascii="Arial" w:hAnsi="Arial" w:cs="Arial"/>
                <w:b/>
                <w:bCs/>
              </w:rPr>
            </w:pPr>
            <w:r w:rsidRPr="007019B8">
              <w:rPr>
                <w:rFonts w:ascii="Arial" w:hAnsi="Arial" w:cs="Arial"/>
                <w:b/>
                <w:bCs/>
              </w:rPr>
              <w:t xml:space="preserve">The primary audit standards assessed will be </w:t>
            </w:r>
          </w:p>
          <w:p w14:paraId="49115FE2" w14:textId="77777777" w:rsidR="00754203" w:rsidRPr="007019B8" w:rsidRDefault="00754203" w:rsidP="00754203">
            <w:pPr>
              <w:pStyle w:val="ListParagraph"/>
              <w:numPr>
                <w:ilvl w:val="0"/>
                <w:numId w:val="4"/>
              </w:numPr>
              <w:spacing w:after="0" w:line="240" w:lineRule="auto"/>
              <w:rPr>
                <w:rFonts w:ascii="Arial" w:hAnsi="Arial" w:cs="Arial"/>
              </w:rPr>
            </w:pPr>
            <w:r w:rsidRPr="007019B8">
              <w:rPr>
                <w:rFonts w:ascii="Arial" w:hAnsi="Arial" w:cs="Arial"/>
              </w:rPr>
              <w:t>Proportion of patients treated with</w:t>
            </w:r>
            <w:r>
              <w:rPr>
                <w:rFonts w:ascii="Arial" w:hAnsi="Arial" w:cs="Arial"/>
              </w:rPr>
              <w:t xml:space="preserve"> a</w:t>
            </w:r>
            <w:r w:rsidRPr="007019B8">
              <w:rPr>
                <w:rFonts w:ascii="Arial" w:hAnsi="Arial" w:cs="Arial"/>
              </w:rPr>
              <w:t xml:space="preserve"> reversal agent who had severe or life-threatening bleeding as defined by the International Society for Thrombosis and Haemostasis</w:t>
            </w:r>
            <w:r w:rsidRPr="007019B8">
              <w:rPr>
                <w:rFonts w:ascii="Arial" w:hAnsi="Arial" w:cs="Arial"/>
              </w:rPr>
              <w:fldChar w:fldCharType="begin" w:fldLock="1"/>
            </w:r>
            <w:r>
              <w:rPr>
                <w:rFonts w:ascii="Arial" w:hAnsi="Arial" w:cs="Arial"/>
              </w:rPr>
              <w:instrText>ADDIN CSL_CITATION {"citationItems":[{"id":"ITEM-1","itemData":{"DOI":"10.1111/j.1538-7836.2009.03678.x","ISSN":"15387933","PMID":"19878532","abstract":"The definition of major bleeding varies between studies on surgical patients, particularly regarding the criteria for surgical wound-related bleeding. This diversity contributes to the difficulties in comparing data between trials. The Scientific and Standardization Committee (SSC), through its subcommittee on Control of Anticoagulation, of the International Society on Thrombosis and Haemostasis has previously published a recommendation for a harmonized definition of major bleeding in non-surgical studies. That definition has been adopted by the European Medicines Agency and is currently used in several non-surgical trials. A preliminary proposal for a parallel definition for surgical studies was presented at the 54th Annual Meeting of the SSC in Vienna, July 2008. Based on those discussions and further consultations with European and North American surgeons with experience from clinical trials a definition has been developed that should be applicable to all agents that interfere with hemostasis. The definition and the text that follows have been reviewed and approved by relevant co-chairs of the subcommittee and by the Executive Committee of the SSC. The intention is to seek approval of this definition from the regulatory authorities to enhance its incorporation into future clinical trial protocols. © 2009 International Society on Thrombosis and Haemostasis.","author":[{"dropping-particle":"","family":"Schulman","given":"S.","non-dropping-particle":"","parse-names":false,"suffix":""},{"dropping-particle":"","family":"Anger","given":"S. U.","non-dropping-particle":"","parse-names":false,"suffix":""},{"dropping-particle":"","family":"Bergqvist","given":"D.","non-dropping-particle":"","parse-names":false,"suffix":""},{"dropping-particle":"","family":"Eriksson","given":"B.","non-dropping-particle":"","parse-names":false,"suffix":""},{"dropping-particle":"","family":"Lassen","given":"M. R.","non-dropping-particle":"","parse-names":false,"suffix":""},{"dropping-particle":"","family":"Fisher","given":"W.","non-dropping-particle":"","parse-names":false,"suffix":""}],"container-title":"Journal of Thrombosis and Haemostasis","id":"ITEM-1","issue":"1","issued":{"date-parts":[["2010"]]},"page":"202-204","title":"Definition of major bleeding in clinical investigations of antihemostatic medicinal products in surgical patients","type":"article-journal","volume":"8"},"uris":["http://www.mendeley.com/documents/?uuid=fe7b0c38-d1d6-4782-a998-26e90cd8a1e8"]}],"mendeley":{"formattedCitation":"&lt;sup&gt;&lt;sup&gt;6&lt;/sup&gt;&lt;/sup&gt;","plainTextFormattedCitation":"6","previouslyFormattedCitation":"&lt;sup&gt;&lt;sup&gt;8&lt;/sup&gt;&lt;/sup&gt;"},"properties":{"noteIndex":0},"schema":"https://github.com/citation-style-language/schema/raw/master/csl-citation.json"}</w:instrText>
            </w:r>
            <w:r w:rsidRPr="007019B8">
              <w:rPr>
                <w:rFonts w:ascii="Arial" w:hAnsi="Arial" w:cs="Arial"/>
              </w:rPr>
              <w:fldChar w:fldCharType="separate"/>
            </w:r>
            <w:r w:rsidRPr="002033FC">
              <w:rPr>
                <w:rFonts w:ascii="Arial" w:hAnsi="Arial" w:cs="Arial"/>
                <w:noProof/>
                <w:vertAlign w:val="superscript"/>
              </w:rPr>
              <w:t>6</w:t>
            </w:r>
            <w:r w:rsidRPr="007019B8">
              <w:rPr>
                <w:rFonts w:ascii="Arial" w:hAnsi="Arial" w:cs="Arial"/>
              </w:rPr>
              <w:fldChar w:fldCharType="end"/>
            </w:r>
          </w:p>
          <w:p w14:paraId="3A983AA4" w14:textId="77777777" w:rsidR="00754203" w:rsidRPr="007019B8" w:rsidRDefault="00754203" w:rsidP="00754203">
            <w:pPr>
              <w:pStyle w:val="ListParagraph"/>
              <w:numPr>
                <w:ilvl w:val="0"/>
                <w:numId w:val="4"/>
              </w:numPr>
              <w:spacing w:after="0" w:line="240" w:lineRule="auto"/>
              <w:rPr>
                <w:rFonts w:ascii="Arial" w:hAnsi="Arial" w:cs="Arial"/>
              </w:rPr>
            </w:pPr>
            <w:r w:rsidRPr="007019B8">
              <w:rPr>
                <w:rFonts w:ascii="Arial" w:hAnsi="Arial" w:cs="Arial"/>
              </w:rPr>
              <w:t>Proportion of patients treated with a reversal agent who received treatment in accordance with the dosing schedule laid out in the relevant summary of product characteristics (SPC)</w:t>
            </w:r>
          </w:p>
          <w:p w14:paraId="7D0E81BD" w14:textId="77777777" w:rsidR="00754203" w:rsidRPr="007019B8" w:rsidRDefault="00754203" w:rsidP="00D059D8">
            <w:pPr>
              <w:rPr>
                <w:rFonts w:ascii="Arial" w:hAnsi="Arial" w:cs="Arial"/>
                <w:b/>
                <w:bCs/>
              </w:rPr>
            </w:pPr>
          </w:p>
          <w:p w14:paraId="30941989" w14:textId="77777777" w:rsidR="00754203" w:rsidRPr="007019B8" w:rsidRDefault="00754203" w:rsidP="00D059D8">
            <w:pPr>
              <w:rPr>
                <w:rFonts w:ascii="Arial" w:hAnsi="Arial" w:cs="Arial"/>
                <w:b/>
                <w:bCs/>
              </w:rPr>
            </w:pPr>
            <w:r w:rsidRPr="007019B8">
              <w:rPr>
                <w:rFonts w:ascii="Arial" w:hAnsi="Arial" w:cs="Arial"/>
                <w:b/>
                <w:bCs/>
              </w:rPr>
              <w:t>Secondary objectives / outcomes</w:t>
            </w:r>
          </w:p>
          <w:p w14:paraId="3CA46992" w14:textId="77777777" w:rsidR="00754203" w:rsidRPr="007019B8" w:rsidRDefault="00754203" w:rsidP="00754203">
            <w:pPr>
              <w:pStyle w:val="ListParagraph"/>
              <w:numPr>
                <w:ilvl w:val="0"/>
                <w:numId w:val="5"/>
              </w:numPr>
              <w:spacing w:after="0" w:line="240" w:lineRule="auto"/>
              <w:rPr>
                <w:rFonts w:ascii="Arial" w:hAnsi="Arial" w:cs="Arial"/>
              </w:rPr>
            </w:pPr>
            <w:r w:rsidRPr="007019B8">
              <w:rPr>
                <w:rFonts w:ascii="Arial" w:hAnsi="Arial" w:cs="Arial"/>
              </w:rPr>
              <w:t>Exploratory data collection around comparative efficacy of reversal agents to inform design of future randomised clinical trials.</w:t>
            </w:r>
          </w:p>
          <w:p w14:paraId="0A72E6DA" w14:textId="77777777" w:rsidR="00754203" w:rsidRPr="007019B8" w:rsidRDefault="00754203" w:rsidP="00754203">
            <w:pPr>
              <w:pStyle w:val="ListParagraph"/>
              <w:numPr>
                <w:ilvl w:val="0"/>
                <w:numId w:val="5"/>
              </w:numPr>
              <w:spacing w:after="0" w:line="240" w:lineRule="auto"/>
              <w:rPr>
                <w:rFonts w:ascii="Arial" w:hAnsi="Arial" w:cs="Arial"/>
              </w:rPr>
            </w:pPr>
            <w:r w:rsidRPr="007019B8">
              <w:rPr>
                <w:rFonts w:ascii="Arial" w:hAnsi="Arial" w:cs="Arial"/>
              </w:rPr>
              <w:t>Specifically, we will collect data on:</w:t>
            </w:r>
          </w:p>
          <w:p w14:paraId="750EE061" w14:textId="77777777" w:rsidR="00754203" w:rsidRPr="007019B8" w:rsidRDefault="00754203" w:rsidP="00754203">
            <w:pPr>
              <w:pStyle w:val="ListParagraph"/>
              <w:numPr>
                <w:ilvl w:val="1"/>
                <w:numId w:val="5"/>
              </w:numPr>
              <w:spacing w:after="0" w:line="240" w:lineRule="auto"/>
              <w:rPr>
                <w:rFonts w:ascii="Arial" w:hAnsi="Arial" w:cs="Arial"/>
              </w:rPr>
            </w:pPr>
            <w:r w:rsidRPr="007019B8">
              <w:rPr>
                <w:rFonts w:ascii="Arial" w:hAnsi="Arial" w:cs="Arial"/>
              </w:rPr>
              <w:t>Thrombotic events within 90 days</w:t>
            </w:r>
          </w:p>
          <w:p w14:paraId="56C2E95D" w14:textId="77777777" w:rsidR="00754203" w:rsidRPr="007019B8" w:rsidRDefault="00754203" w:rsidP="00754203">
            <w:pPr>
              <w:pStyle w:val="ListParagraph"/>
              <w:numPr>
                <w:ilvl w:val="1"/>
                <w:numId w:val="5"/>
              </w:numPr>
              <w:spacing w:after="0" w:line="240" w:lineRule="auto"/>
              <w:rPr>
                <w:rFonts w:ascii="Arial" w:hAnsi="Arial" w:cs="Arial"/>
              </w:rPr>
            </w:pPr>
            <w:r w:rsidRPr="007019B8">
              <w:rPr>
                <w:rFonts w:ascii="Arial" w:hAnsi="Arial" w:cs="Arial"/>
              </w:rPr>
              <w:t>Requirement for transfusion within 90 days</w:t>
            </w:r>
          </w:p>
          <w:p w14:paraId="0E7F8601" w14:textId="77777777" w:rsidR="00754203" w:rsidRPr="007019B8" w:rsidRDefault="00754203" w:rsidP="00754203">
            <w:pPr>
              <w:pStyle w:val="ListParagraph"/>
              <w:numPr>
                <w:ilvl w:val="1"/>
                <w:numId w:val="5"/>
              </w:numPr>
              <w:spacing w:after="0" w:line="240" w:lineRule="auto"/>
              <w:rPr>
                <w:rFonts w:ascii="Arial" w:hAnsi="Arial" w:cs="Arial"/>
              </w:rPr>
            </w:pPr>
            <w:r w:rsidRPr="007019B8">
              <w:rPr>
                <w:rFonts w:ascii="Arial" w:hAnsi="Arial" w:cs="Arial"/>
              </w:rPr>
              <w:t>Death within 90 days</w:t>
            </w:r>
          </w:p>
          <w:p w14:paraId="4D449972" w14:textId="77777777" w:rsidR="00754203" w:rsidRPr="007019B8" w:rsidRDefault="00754203" w:rsidP="00754203">
            <w:pPr>
              <w:pStyle w:val="ListParagraph"/>
              <w:numPr>
                <w:ilvl w:val="1"/>
                <w:numId w:val="5"/>
              </w:numPr>
              <w:spacing w:after="0" w:line="240" w:lineRule="auto"/>
              <w:rPr>
                <w:rFonts w:ascii="Arial" w:hAnsi="Arial" w:cs="Arial"/>
              </w:rPr>
            </w:pPr>
            <w:r w:rsidRPr="007019B8">
              <w:rPr>
                <w:rFonts w:ascii="Arial" w:hAnsi="Arial" w:cs="Arial"/>
              </w:rPr>
              <w:t>Death due to bleeding within 90 days</w:t>
            </w:r>
          </w:p>
          <w:p w14:paraId="5BBF9662" w14:textId="77777777" w:rsidR="00754203" w:rsidRPr="007019B8" w:rsidRDefault="00754203" w:rsidP="00754203">
            <w:pPr>
              <w:pStyle w:val="ListParagraph"/>
              <w:numPr>
                <w:ilvl w:val="1"/>
                <w:numId w:val="5"/>
              </w:numPr>
              <w:spacing w:after="0" w:line="240" w:lineRule="auto"/>
              <w:rPr>
                <w:rFonts w:ascii="Arial" w:hAnsi="Arial" w:cs="Arial"/>
              </w:rPr>
            </w:pPr>
            <w:r w:rsidRPr="007019B8">
              <w:rPr>
                <w:rFonts w:ascii="Arial" w:hAnsi="Arial" w:cs="Arial"/>
              </w:rPr>
              <w:t>Death due to thrombosis within 90 days</w:t>
            </w:r>
          </w:p>
        </w:tc>
      </w:tr>
      <w:tr w:rsidR="00754203" w:rsidRPr="007019B8" w14:paraId="1A910637" w14:textId="77777777" w:rsidTr="00D059D8">
        <w:trPr>
          <w:trHeight w:val="315"/>
        </w:trPr>
        <w:tc>
          <w:tcPr>
            <w:tcW w:w="2129" w:type="dxa"/>
            <w:vAlign w:val="center"/>
          </w:tcPr>
          <w:p w14:paraId="73E67A72" w14:textId="77777777" w:rsidR="00754203" w:rsidRPr="007019B8" w:rsidRDefault="00754203" w:rsidP="00D059D8">
            <w:pPr>
              <w:rPr>
                <w:rFonts w:ascii="Arial" w:hAnsi="Arial" w:cs="Arial"/>
              </w:rPr>
            </w:pPr>
            <w:r w:rsidRPr="007019B8">
              <w:rPr>
                <w:rFonts w:ascii="Arial" w:hAnsi="Arial" w:cs="Arial"/>
              </w:rPr>
              <w:t>Scope</w:t>
            </w:r>
          </w:p>
        </w:tc>
        <w:tc>
          <w:tcPr>
            <w:tcW w:w="6916" w:type="dxa"/>
            <w:vAlign w:val="center"/>
          </w:tcPr>
          <w:p w14:paraId="6BF469F0" w14:textId="77777777" w:rsidR="00754203" w:rsidRPr="007019B8" w:rsidRDefault="00754203" w:rsidP="00D059D8">
            <w:pPr>
              <w:rPr>
                <w:rFonts w:ascii="Arial" w:hAnsi="Arial" w:cs="Arial"/>
              </w:rPr>
            </w:pPr>
            <w:r w:rsidRPr="007019B8">
              <w:rPr>
                <w:rFonts w:ascii="Arial" w:hAnsi="Arial" w:cs="Arial"/>
              </w:rPr>
              <w:t>National – UK-wide audit of use of high-cost medicines</w:t>
            </w:r>
          </w:p>
        </w:tc>
      </w:tr>
      <w:tr w:rsidR="00754203" w:rsidRPr="007019B8" w14:paraId="6DA6976C" w14:textId="77777777" w:rsidTr="00D059D8">
        <w:trPr>
          <w:trHeight w:val="297"/>
        </w:trPr>
        <w:tc>
          <w:tcPr>
            <w:tcW w:w="2129" w:type="dxa"/>
            <w:vAlign w:val="center"/>
          </w:tcPr>
          <w:p w14:paraId="48A8205B" w14:textId="77777777" w:rsidR="00754203" w:rsidRPr="007019B8" w:rsidRDefault="00754203" w:rsidP="00D059D8">
            <w:pPr>
              <w:rPr>
                <w:rFonts w:ascii="Arial" w:hAnsi="Arial" w:cs="Arial"/>
              </w:rPr>
            </w:pPr>
            <w:r w:rsidRPr="007019B8">
              <w:rPr>
                <w:rFonts w:ascii="Arial" w:hAnsi="Arial" w:cs="Arial"/>
              </w:rPr>
              <w:t>Type of project</w:t>
            </w:r>
          </w:p>
        </w:tc>
        <w:tc>
          <w:tcPr>
            <w:tcW w:w="6916" w:type="dxa"/>
            <w:vAlign w:val="center"/>
          </w:tcPr>
          <w:p w14:paraId="74EE1B9F" w14:textId="77777777" w:rsidR="00754203" w:rsidRPr="007019B8" w:rsidRDefault="00754203" w:rsidP="00D059D8">
            <w:pPr>
              <w:rPr>
                <w:rFonts w:ascii="Arial" w:hAnsi="Arial" w:cs="Arial"/>
              </w:rPr>
            </w:pPr>
            <w:r w:rsidRPr="007019B8">
              <w:rPr>
                <w:rFonts w:ascii="Arial" w:hAnsi="Arial" w:cs="Arial"/>
              </w:rPr>
              <w:t>National guideline</w:t>
            </w:r>
          </w:p>
        </w:tc>
      </w:tr>
      <w:tr w:rsidR="00754203" w:rsidRPr="007019B8" w14:paraId="37991FA8" w14:textId="77777777" w:rsidTr="00D059D8">
        <w:trPr>
          <w:trHeight w:val="1244"/>
        </w:trPr>
        <w:tc>
          <w:tcPr>
            <w:tcW w:w="2129" w:type="dxa"/>
            <w:vAlign w:val="center"/>
          </w:tcPr>
          <w:p w14:paraId="19525505" w14:textId="77777777" w:rsidR="00754203" w:rsidRDefault="00754203" w:rsidP="00D059D8">
            <w:pPr>
              <w:rPr>
                <w:rFonts w:ascii="Arial" w:hAnsi="Arial" w:cs="Arial"/>
              </w:rPr>
            </w:pPr>
            <w:r w:rsidRPr="007019B8">
              <w:rPr>
                <w:rFonts w:ascii="Arial" w:hAnsi="Arial" w:cs="Arial"/>
              </w:rPr>
              <w:t>Please give the name of the local/national guideline</w:t>
            </w:r>
          </w:p>
          <w:p w14:paraId="2B0C0365" w14:textId="7CF07804" w:rsidR="00B42AD3" w:rsidRPr="007019B8" w:rsidRDefault="00B42AD3" w:rsidP="00D059D8">
            <w:pPr>
              <w:rPr>
                <w:rFonts w:ascii="Arial" w:hAnsi="Arial" w:cs="Arial"/>
              </w:rPr>
            </w:pPr>
            <w:r>
              <w:rPr>
                <w:rFonts w:ascii="Arial" w:hAnsi="Arial" w:cs="Arial"/>
              </w:rPr>
              <w:t xml:space="preserve">Your audit department may ask for specifics of </w:t>
            </w:r>
            <w:r>
              <w:rPr>
                <w:rFonts w:ascii="Arial" w:hAnsi="Arial" w:cs="Arial"/>
              </w:rPr>
              <w:lastRenderedPageBreak/>
              <w:t>the audit standards which are listed here.</w:t>
            </w:r>
          </w:p>
        </w:tc>
        <w:tc>
          <w:tcPr>
            <w:tcW w:w="6916" w:type="dxa"/>
            <w:vAlign w:val="center"/>
          </w:tcPr>
          <w:p w14:paraId="1DA2D789" w14:textId="77777777" w:rsidR="00B42AD3" w:rsidRPr="00B42AD3" w:rsidRDefault="00B42AD3" w:rsidP="00B42AD3">
            <w:pPr>
              <w:spacing w:after="0" w:line="240" w:lineRule="auto"/>
              <w:textAlignment w:val="baseline"/>
              <w:rPr>
                <w:rFonts w:ascii="Arial" w:hAnsi="Arial" w:cs="Arial"/>
                <w:color w:val="000000"/>
                <w:sz w:val="24"/>
                <w:szCs w:val="24"/>
              </w:rPr>
            </w:pPr>
            <w:r w:rsidRPr="00B42AD3">
              <w:rPr>
                <w:rFonts w:ascii="Arial" w:hAnsi="Arial" w:cs="Arial"/>
                <w:b/>
                <w:bCs/>
                <w:color w:val="000000"/>
                <w:bdr w:val="none" w:sz="0" w:space="0" w:color="auto" w:frame="1"/>
              </w:rPr>
              <w:lastRenderedPageBreak/>
              <w:t>Andexanet alfa for reversing anticoagulation from apixaban or rivaroxaban. Technology appraisal guidance (TA697). 12 May 2021. </w:t>
            </w:r>
            <w:hyperlink r:id="rId11" w:tgtFrame="_blank" w:history="1">
              <w:r w:rsidRPr="00B42AD3">
                <w:rPr>
                  <w:rStyle w:val="Hyperlink"/>
                  <w:rFonts w:ascii="Arial" w:hAnsi="Arial" w:cs="Arial"/>
                  <w:bdr w:val="none" w:sz="0" w:space="0" w:color="auto" w:frame="1"/>
                </w:rPr>
                <w:t>www.nice.org.uk/guidance/ta697</w:t>
              </w:r>
            </w:hyperlink>
            <w:r w:rsidRPr="00B42AD3">
              <w:rPr>
                <w:rFonts w:ascii="Arial" w:hAnsi="Arial" w:cs="Arial"/>
                <w:color w:val="000000"/>
                <w:bdr w:val="none" w:sz="0" w:space="0" w:color="auto" w:frame="1"/>
              </w:rPr>
              <w:t> </w:t>
            </w:r>
          </w:p>
          <w:p w14:paraId="0B337066" w14:textId="77777777" w:rsidR="00B42AD3" w:rsidRPr="00B42AD3" w:rsidRDefault="00B42AD3" w:rsidP="00B42AD3">
            <w:pPr>
              <w:numPr>
                <w:ilvl w:val="0"/>
                <w:numId w:val="25"/>
              </w:numPr>
              <w:spacing w:before="100" w:beforeAutospacing="1" w:after="100" w:afterAutospacing="1" w:line="240" w:lineRule="auto"/>
              <w:textAlignment w:val="baseline"/>
              <w:rPr>
                <w:rFonts w:ascii="Arial" w:hAnsi="Arial" w:cs="Arial"/>
                <w:color w:val="000000"/>
              </w:rPr>
            </w:pPr>
            <w:r w:rsidRPr="00B42AD3">
              <w:rPr>
                <w:rFonts w:ascii="Arial" w:hAnsi="Arial" w:cs="Arial"/>
                <w:color w:val="000000"/>
              </w:rPr>
              <w:t>Page 4, paragraph 1.1 and 1.2</w:t>
            </w:r>
          </w:p>
          <w:p w14:paraId="4F6BB36C" w14:textId="77777777" w:rsidR="00B42AD3" w:rsidRPr="00B42AD3" w:rsidRDefault="00B42AD3" w:rsidP="00B42AD3">
            <w:pPr>
              <w:numPr>
                <w:ilvl w:val="1"/>
                <w:numId w:val="25"/>
              </w:numPr>
              <w:spacing w:before="100" w:beforeAutospacing="1" w:after="100" w:afterAutospacing="1" w:line="240" w:lineRule="auto"/>
              <w:textAlignment w:val="baseline"/>
              <w:rPr>
                <w:rFonts w:ascii="Arial" w:hAnsi="Arial" w:cs="Arial"/>
                <w:color w:val="000000"/>
              </w:rPr>
            </w:pPr>
            <w:r w:rsidRPr="00B42AD3">
              <w:rPr>
                <w:rFonts w:ascii="Arial" w:hAnsi="Arial" w:cs="Arial"/>
                <w:color w:val="000000"/>
              </w:rPr>
              <w:t xml:space="preserve">1.1: "Andexanet alfa is recommended as an option for reversing anticoagulation from apixaban or </w:t>
            </w:r>
            <w:r w:rsidRPr="00B42AD3">
              <w:rPr>
                <w:rFonts w:ascii="Arial" w:hAnsi="Arial" w:cs="Arial"/>
                <w:color w:val="000000"/>
              </w:rPr>
              <w:lastRenderedPageBreak/>
              <w:t>rivaroxaban in adults with life-threatening or uncontrolled bleeding, only if: </w:t>
            </w:r>
          </w:p>
          <w:p w14:paraId="71CF232D" w14:textId="77777777" w:rsidR="00B42AD3" w:rsidRPr="00B42AD3" w:rsidRDefault="00B42AD3" w:rsidP="00B42AD3">
            <w:pPr>
              <w:numPr>
                <w:ilvl w:val="2"/>
                <w:numId w:val="25"/>
              </w:numPr>
              <w:spacing w:before="100" w:beforeAutospacing="1" w:after="100" w:afterAutospacing="1" w:line="240" w:lineRule="auto"/>
              <w:textAlignment w:val="baseline"/>
              <w:rPr>
                <w:rFonts w:ascii="Arial" w:hAnsi="Arial" w:cs="Arial"/>
                <w:color w:val="000000"/>
              </w:rPr>
            </w:pPr>
            <w:r w:rsidRPr="00B42AD3">
              <w:rPr>
                <w:rFonts w:ascii="Arial" w:hAnsi="Arial" w:cs="Arial"/>
                <w:color w:val="000000"/>
              </w:rPr>
              <w:t>the bleed is in the gastrointestinal tract, and </w:t>
            </w:r>
          </w:p>
          <w:p w14:paraId="32857999" w14:textId="77777777" w:rsidR="00B42AD3" w:rsidRPr="00B42AD3" w:rsidRDefault="00B42AD3" w:rsidP="00B42AD3">
            <w:pPr>
              <w:numPr>
                <w:ilvl w:val="2"/>
                <w:numId w:val="25"/>
              </w:numPr>
              <w:spacing w:before="100" w:beforeAutospacing="1" w:after="100" w:afterAutospacing="1" w:line="240" w:lineRule="auto"/>
              <w:textAlignment w:val="baseline"/>
              <w:rPr>
                <w:rFonts w:ascii="Arial" w:hAnsi="Arial" w:cs="Arial"/>
                <w:color w:val="000000"/>
              </w:rPr>
            </w:pPr>
            <w:r w:rsidRPr="00B42AD3">
              <w:rPr>
                <w:rFonts w:ascii="Arial" w:hAnsi="Arial" w:cs="Arial"/>
                <w:color w:val="000000"/>
              </w:rPr>
              <w:t>the company provides andexanet alfa according to the commercial arrangement."</w:t>
            </w:r>
          </w:p>
          <w:p w14:paraId="4596ACFC" w14:textId="77777777" w:rsidR="00B42AD3" w:rsidRPr="00B42AD3" w:rsidRDefault="00B42AD3" w:rsidP="00B42AD3">
            <w:pPr>
              <w:numPr>
                <w:ilvl w:val="1"/>
                <w:numId w:val="25"/>
              </w:numPr>
              <w:spacing w:before="100" w:beforeAutospacing="1" w:after="100" w:afterAutospacing="1" w:line="240" w:lineRule="auto"/>
              <w:textAlignment w:val="baseline"/>
              <w:rPr>
                <w:rFonts w:ascii="Arial" w:hAnsi="Arial" w:cs="Arial"/>
                <w:color w:val="000000"/>
              </w:rPr>
            </w:pPr>
            <w:r w:rsidRPr="00B42AD3">
              <w:rPr>
                <w:rFonts w:ascii="Arial" w:hAnsi="Arial" w:cs="Arial"/>
                <w:color w:val="000000"/>
              </w:rPr>
              <w:t>1.2: "Andexanet alfa is recommended only in research for reversing anticoagulation from apixaban or rivaroxaban in adults with life-threatening or uncontrolled bleeding in the skull (intracranial haemorrhage; ICH), in the form of an ongoing randomised trial mandated by the regulator."</w:t>
            </w:r>
          </w:p>
          <w:p w14:paraId="4077278C" w14:textId="300C82A8" w:rsidR="00B42AD3" w:rsidRPr="00B42AD3" w:rsidRDefault="00B42AD3" w:rsidP="00B42AD3">
            <w:pPr>
              <w:spacing w:after="0"/>
              <w:textAlignment w:val="baseline"/>
              <w:rPr>
                <w:rFonts w:ascii="Arial" w:hAnsi="Arial" w:cs="Arial"/>
                <w:color w:val="000000"/>
              </w:rPr>
            </w:pPr>
            <w:r w:rsidRPr="00384EA2">
              <w:rPr>
                <w:rFonts w:ascii="Arial" w:hAnsi="Arial" w:cs="Arial"/>
                <w:b/>
                <w:bCs/>
                <w:color w:val="000000"/>
                <w:bdr w:val="none" w:sz="0" w:space="0" w:color="auto" w:frame="1"/>
              </w:rPr>
              <w:t>Makris et al on behalf of the British Committee for Standards in Haematology (BCSH). Guideline on the management of bleeding in patients on antithrombotic drugs. </w:t>
            </w:r>
            <w:r w:rsidRPr="00384EA2">
              <w:rPr>
                <w:rFonts w:ascii="Arial" w:hAnsi="Arial" w:cs="Arial"/>
                <w:b/>
                <w:bCs/>
                <w:color w:val="000000"/>
              </w:rPr>
              <w:t xml:space="preserve">British Journal of Haematology, 2012,160,35–46 </w:t>
            </w:r>
            <w:proofErr w:type="gramStart"/>
            <w:r w:rsidRPr="00384EA2">
              <w:rPr>
                <w:rFonts w:ascii="Arial" w:hAnsi="Arial" w:cs="Arial"/>
                <w:b/>
                <w:bCs/>
                <w:color w:val="000000"/>
              </w:rPr>
              <w:t>doi:10.1111/bjh.12107guideline</w:t>
            </w:r>
            <w:proofErr w:type="gramEnd"/>
            <w:r w:rsidRPr="00B42AD3">
              <w:rPr>
                <w:rFonts w:ascii="Arial" w:hAnsi="Arial" w:cs="Arial"/>
                <w:color w:val="000000"/>
              </w:rPr>
              <w:t xml:space="preserve"> (</w:t>
            </w:r>
            <w:hyperlink r:id="rId12" w:tgtFrame="_blank" w:history="1">
              <w:r w:rsidRPr="00B42AD3">
                <w:rPr>
                  <w:rStyle w:val="Hyperlink"/>
                  <w:rFonts w:ascii="Arial" w:hAnsi="Arial" w:cs="Arial"/>
                  <w:bdr w:val="none" w:sz="0" w:space="0" w:color="auto" w:frame="1"/>
                </w:rPr>
                <w:t>https://onlinelibrary.wiley.com/doi/full/10.1111/bjh.12107</w:t>
              </w:r>
            </w:hyperlink>
            <w:r w:rsidRPr="00B42AD3">
              <w:rPr>
                <w:rFonts w:ascii="Arial" w:hAnsi="Arial" w:cs="Arial"/>
                <w:color w:val="000000"/>
              </w:rPr>
              <w:t>) </w:t>
            </w:r>
          </w:p>
          <w:p w14:paraId="36350432" w14:textId="77777777" w:rsidR="00B42AD3" w:rsidRPr="00B42AD3" w:rsidRDefault="00B42AD3" w:rsidP="00B42AD3">
            <w:pPr>
              <w:numPr>
                <w:ilvl w:val="0"/>
                <w:numId w:val="26"/>
              </w:numPr>
              <w:spacing w:beforeAutospacing="1" w:after="0" w:afterAutospacing="1" w:line="240" w:lineRule="auto"/>
              <w:textAlignment w:val="baseline"/>
              <w:rPr>
                <w:rFonts w:ascii="Arial" w:hAnsi="Arial" w:cs="Arial"/>
                <w:color w:val="000000"/>
              </w:rPr>
            </w:pPr>
            <w:r w:rsidRPr="00B42AD3">
              <w:rPr>
                <w:rFonts w:ascii="Arial" w:hAnsi="Arial" w:cs="Arial"/>
                <w:color w:val="000000"/>
                <w:bdr w:val="none" w:sz="0" w:space="0" w:color="auto" w:frame="1"/>
              </w:rPr>
              <w:t>Page 40</w:t>
            </w:r>
          </w:p>
          <w:p w14:paraId="2AEEBFF1" w14:textId="77777777" w:rsidR="00B42AD3" w:rsidRPr="00B42AD3" w:rsidRDefault="00B42AD3" w:rsidP="00B42AD3">
            <w:pPr>
              <w:numPr>
                <w:ilvl w:val="1"/>
                <w:numId w:val="26"/>
              </w:numPr>
              <w:spacing w:before="100" w:beforeAutospacing="1" w:after="100" w:afterAutospacing="1" w:line="240" w:lineRule="auto"/>
              <w:textAlignment w:val="baseline"/>
              <w:rPr>
                <w:rFonts w:ascii="Arial" w:hAnsi="Arial" w:cs="Arial"/>
                <w:color w:val="000000"/>
              </w:rPr>
            </w:pPr>
            <w:r w:rsidRPr="00B42AD3">
              <w:rPr>
                <w:rFonts w:ascii="Arial" w:hAnsi="Arial" w:cs="Arial"/>
                <w:color w:val="000000"/>
              </w:rPr>
              <w:t xml:space="preserve">Direct oral </w:t>
            </w:r>
            <w:proofErr w:type="spellStart"/>
            <w:r w:rsidRPr="00B42AD3">
              <w:rPr>
                <w:rFonts w:ascii="Arial" w:hAnsi="Arial" w:cs="Arial"/>
                <w:color w:val="000000"/>
              </w:rPr>
              <w:t>Xa</w:t>
            </w:r>
            <w:proofErr w:type="spellEnd"/>
            <w:r w:rsidRPr="00B42AD3">
              <w:rPr>
                <w:rFonts w:ascii="Arial" w:hAnsi="Arial" w:cs="Arial"/>
                <w:color w:val="000000"/>
              </w:rPr>
              <w:t xml:space="preserve"> inhibitors - Rivaroxaban and Apixaban</w:t>
            </w:r>
          </w:p>
          <w:p w14:paraId="244648DC" w14:textId="77777777" w:rsidR="00B42AD3" w:rsidRPr="00B42AD3" w:rsidRDefault="00B42AD3" w:rsidP="00B42AD3">
            <w:pPr>
              <w:numPr>
                <w:ilvl w:val="1"/>
                <w:numId w:val="26"/>
              </w:numPr>
              <w:spacing w:before="100" w:beforeAutospacing="1" w:after="100" w:afterAutospacing="1" w:line="240" w:lineRule="auto"/>
              <w:textAlignment w:val="baseline"/>
              <w:rPr>
                <w:rFonts w:ascii="Arial" w:hAnsi="Arial" w:cs="Arial"/>
                <w:color w:val="000000"/>
              </w:rPr>
            </w:pPr>
            <w:r w:rsidRPr="00B42AD3">
              <w:rPr>
                <w:rFonts w:ascii="Arial" w:hAnsi="Arial" w:cs="Arial"/>
                <w:color w:val="000000"/>
              </w:rPr>
              <w:t>Paragraph 5: </w:t>
            </w:r>
            <w:r w:rsidRPr="00B42AD3">
              <w:rPr>
                <w:rFonts w:ascii="Arial" w:hAnsi="Arial" w:cs="Arial"/>
                <w:i/>
                <w:iCs/>
                <w:color w:val="000000"/>
              </w:rPr>
              <w:t>"Recommendations"</w:t>
            </w:r>
          </w:p>
          <w:p w14:paraId="3765DE43" w14:textId="77777777" w:rsidR="00B42AD3" w:rsidRPr="00B42AD3" w:rsidRDefault="00B42AD3" w:rsidP="00B42AD3">
            <w:pPr>
              <w:numPr>
                <w:ilvl w:val="2"/>
                <w:numId w:val="26"/>
              </w:numPr>
              <w:spacing w:before="100" w:beforeAutospacing="1" w:after="100" w:afterAutospacing="1" w:line="240" w:lineRule="auto"/>
              <w:textAlignment w:val="baseline"/>
              <w:rPr>
                <w:rFonts w:ascii="Arial" w:hAnsi="Arial" w:cs="Arial"/>
                <w:color w:val="000000"/>
              </w:rPr>
            </w:pPr>
            <w:r w:rsidRPr="00B42AD3">
              <w:rPr>
                <w:rFonts w:ascii="Arial" w:hAnsi="Arial" w:cs="Arial"/>
                <w:color w:val="000000"/>
              </w:rPr>
              <w:t>“There is no specific antidote for rivaroxaban. Management of bleeding should be through cessation of treatment and general haemostatic measures"</w:t>
            </w:r>
          </w:p>
          <w:p w14:paraId="5A0C8EF9" w14:textId="2C70ACDE" w:rsidR="00B42AD3" w:rsidRPr="00B42AD3" w:rsidRDefault="00B42AD3" w:rsidP="00B42AD3">
            <w:pPr>
              <w:numPr>
                <w:ilvl w:val="2"/>
                <w:numId w:val="26"/>
              </w:numPr>
              <w:spacing w:before="100" w:beforeAutospacing="1" w:after="100" w:afterAutospacing="1" w:line="240" w:lineRule="auto"/>
              <w:textAlignment w:val="baseline"/>
              <w:rPr>
                <w:rFonts w:ascii="Arial" w:hAnsi="Arial" w:cs="Arial"/>
                <w:color w:val="000000"/>
              </w:rPr>
            </w:pPr>
            <w:r w:rsidRPr="00B42AD3">
              <w:rPr>
                <w:rFonts w:ascii="Arial" w:hAnsi="Arial" w:cs="Arial"/>
                <w:color w:val="000000"/>
              </w:rPr>
              <w:t xml:space="preserve">"In situations with ongoing life-threatening bleeding, PCC, APCC and </w:t>
            </w:r>
            <w:proofErr w:type="spellStart"/>
            <w:r w:rsidRPr="00B42AD3">
              <w:rPr>
                <w:rFonts w:ascii="Arial" w:hAnsi="Arial" w:cs="Arial"/>
                <w:color w:val="000000"/>
              </w:rPr>
              <w:t>rFVIIa</w:t>
            </w:r>
            <w:proofErr w:type="spellEnd"/>
            <w:r w:rsidRPr="00B42AD3">
              <w:rPr>
                <w:rFonts w:ascii="Arial" w:hAnsi="Arial" w:cs="Arial"/>
                <w:color w:val="000000"/>
              </w:rPr>
              <w:t xml:space="preserve"> should be considered” </w:t>
            </w:r>
          </w:p>
          <w:p w14:paraId="2ED5D01B" w14:textId="77777777" w:rsidR="00B42AD3" w:rsidRPr="00B42AD3" w:rsidRDefault="00B42AD3" w:rsidP="00B42AD3">
            <w:pPr>
              <w:shd w:val="clear" w:color="auto" w:fill="FFFFFF"/>
              <w:spacing w:after="0"/>
              <w:textAlignment w:val="baseline"/>
              <w:rPr>
                <w:rFonts w:ascii="Arial" w:hAnsi="Arial" w:cs="Arial"/>
                <w:color w:val="000000"/>
              </w:rPr>
            </w:pPr>
            <w:r w:rsidRPr="00B42AD3">
              <w:rPr>
                <w:rFonts w:ascii="Arial" w:hAnsi="Arial" w:cs="Arial"/>
                <w:b/>
                <w:bCs/>
                <w:color w:val="000000"/>
                <w:bdr w:val="none" w:sz="0" w:space="0" w:color="auto" w:frame="1"/>
              </w:rPr>
              <w:t xml:space="preserve">Addendum to above guideline (2018). </w:t>
            </w:r>
            <w:proofErr w:type="spellStart"/>
            <w:r w:rsidRPr="00B42AD3">
              <w:rPr>
                <w:rFonts w:ascii="Arial" w:hAnsi="Arial" w:cs="Arial"/>
                <w:b/>
                <w:bCs/>
                <w:color w:val="000000"/>
                <w:bdr w:val="none" w:sz="0" w:space="0" w:color="auto" w:frame="1"/>
              </w:rPr>
              <w:t>Alikhan</w:t>
            </w:r>
            <w:proofErr w:type="spellEnd"/>
            <w:r w:rsidRPr="00B42AD3">
              <w:rPr>
                <w:rFonts w:ascii="Arial" w:hAnsi="Arial" w:cs="Arial"/>
                <w:b/>
                <w:bCs/>
                <w:color w:val="000000"/>
                <w:bdr w:val="none" w:sz="0" w:space="0" w:color="auto" w:frame="1"/>
              </w:rPr>
              <w:t xml:space="preserve"> R</w:t>
            </w:r>
            <w:r w:rsidRPr="00B42AD3">
              <w:rPr>
                <w:rFonts w:ascii="Arial" w:hAnsi="Arial" w:cs="Arial"/>
                <w:color w:val="000000"/>
                <w:bdr w:val="none" w:sz="0" w:space="0" w:color="auto" w:frame="1"/>
              </w:rPr>
              <w:t>. (</w:t>
            </w:r>
            <w:hyperlink r:id="rId13" w:tgtFrame="_blank" w:history="1">
              <w:r w:rsidRPr="00B42AD3">
                <w:rPr>
                  <w:rStyle w:val="Hyperlink"/>
                  <w:rFonts w:ascii="Arial" w:hAnsi="Arial" w:cs="Arial"/>
                  <w:bdr w:val="none" w:sz="0" w:space="0" w:color="auto" w:frame="1"/>
                </w:rPr>
                <w:t>https://b-s-h.org.uk/media/16887/addendum-2018-dabigatran-idarucizumab-raz.pdf</w:t>
              </w:r>
            </w:hyperlink>
            <w:r w:rsidRPr="00B42AD3">
              <w:rPr>
                <w:rFonts w:ascii="Arial" w:hAnsi="Arial" w:cs="Arial"/>
                <w:color w:val="000000"/>
                <w:bdr w:val="none" w:sz="0" w:space="0" w:color="auto" w:frame="1"/>
              </w:rPr>
              <w:t>)</w:t>
            </w:r>
          </w:p>
          <w:p w14:paraId="5B9D79FE" w14:textId="77777777" w:rsidR="00B42AD3" w:rsidRPr="00B42AD3" w:rsidRDefault="00B42AD3" w:rsidP="00B42AD3">
            <w:pPr>
              <w:numPr>
                <w:ilvl w:val="0"/>
                <w:numId w:val="27"/>
              </w:numPr>
              <w:shd w:val="clear" w:color="auto" w:fill="FFFFFF"/>
              <w:spacing w:before="100" w:beforeAutospacing="1" w:after="100" w:afterAutospacing="1" w:line="240" w:lineRule="auto"/>
              <w:textAlignment w:val="baseline"/>
              <w:rPr>
                <w:rFonts w:ascii="Arial" w:hAnsi="Arial" w:cs="Arial"/>
                <w:color w:val="000000"/>
              </w:rPr>
            </w:pPr>
            <w:r w:rsidRPr="00B42AD3">
              <w:rPr>
                <w:rFonts w:ascii="Arial" w:hAnsi="Arial" w:cs="Arial"/>
                <w:color w:val="000000"/>
              </w:rPr>
              <w:t>Page 2: </w:t>
            </w:r>
          </w:p>
          <w:p w14:paraId="435DEB7A" w14:textId="77777777" w:rsidR="00B42AD3" w:rsidRPr="00B42AD3" w:rsidRDefault="00B42AD3" w:rsidP="00B42AD3">
            <w:pPr>
              <w:numPr>
                <w:ilvl w:val="0"/>
                <w:numId w:val="27"/>
              </w:numPr>
              <w:shd w:val="clear" w:color="auto" w:fill="FFFFFF"/>
              <w:spacing w:before="100" w:beforeAutospacing="1" w:after="100" w:afterAutospacing="1" w:line="240" w:lineRule="auto"/>
              <w:textAlignment w:val="baseline"/>
              <w:rPr>
                <w:rFonts w:ascii="Arial" w:hAnsi="Arial" w:cs="Arial"/>
                <w:color w:val="000000"/>
              </w:rPr>
            </w:pPr>
            <w:r w:rsidRPr="00B42AD3">
              <w:rPr>
                <w:rFonts w:ascii="Arial" w:hAnsi="Arial" w:cs="Arial"/>
                <w:i/>
                <w:iCs/>
                <w:color w:val="000000"/>
              </w:rPr>
              <w:t>Paragraph 1: Recommendation</w:t>
            </w:r>
          </w:p>
          <w:p w14:paraId="051F77DF" w14:textId="77777777" w:rsidR="00B42AD3" w:rsidRPr="00B42AD3" w:rsidRDefault="00B42AD3" w:rsidP="00B42AD3">
            <w:pPr>
              <w:numPr>
                <w:ilvl w:val="0"/>
                <w:numId w:val="27"/>
              </w:numPr>
              <w:shd w:val="clear" w:color="auto" w:fill="FFFFFF"/>
              <w:spacing w:beforeAutospacing="1" w:after="0" w:afterAutospacing="1" w:line="240" w:lineRule="auto"/>
              <w:textAlignment w:val="baseline"/>
              <w:rPr>
                <w:rFonts w:ascii="Arial" w:hAnsi="Arial" w:cs="Arial"/>
                <w:color w:val="000000"/>
              </w:rPr>
            </w:pPr>
            <w:r w:rsidRPr="00B42AD3">
              <w:rPr>
                <w:rFonts w:ascii="Arial" w:hAnsi="Arial" w:cs="Arial"/>
                <w:color w:val="000000"/>
                <w:bdr w:val="none" w:sz="0" w:space="0" w:color="auto" w:frame="1"/>
              </w:rPr>
              <w:t>Idarucizumab (</w:t>
            </w:r>
            <w:proofErr w:type="spellStart"/>
            <w:r w:rsidRPr="00B42AD3">
              <w:rPr>
                <w:rFonts w:ascii="Arial" w:hAnsi="Arial" w:cs="Arial"/>
                <w:color w:val="000000"/>
                <w:bdr w:val="none" w:sz="0" w:space="0" w:color="auto" w:frame="1"/>
              </w:rPr>
              <w:t>Praxbind</w:t>
            </w:r>
            <w:proofErr w:type="spellEnd"/>
            <w:r w:rsidRPr="00B42AD3">
              <w:rPr>
                <w:rFonts w:ascii="Arial" w:hAnsi="Arial" w:cs="Arial"/>
                <w:color w:val="000000"/>
                <w:bdr w:val="none" w:sz="0" w:space="0" w:color="auto" w:frame="1"/>
              </w:rPr>
              <w:t>) is a specific reversal agent for dabigatran (Pradaxa) and is indicated for adult patients treated with dabigatran when rapid reversal of its anticoagulant effect is required</w:t>
            </w:r>
          </w:p>
          <w:p w14:paraId="2346639B" w14:textId="77777777" w:rsidR="00B42AD3" w:rsidRPr="00B42AD3" w:rsidRDefault="00B42AD3" w:rsidP="00B42AD3">
            <w:pPr>
              <w:numPr>
                <w:ilvl w:val="1"/>
                <w:numId w:val="27"/>
              </w:numPr>
              <w:shd w:val="clear" w:color="auto" w:fill="FFFFFF"/>
              <w:spacing w:beforeAutospacing="1" w:after="0" w:afterAutospacing="1" w:line="240" w:lineRule="auto"/>
              <w:textAlignment w:val="baseline"/>
              <w:rPr>
                <w:rFonts w:ascii="Arial" w:hAnsi="Arial" w:cs="Arial"/>
                <w:color w:val="000000"/>
              </w:rPr>
            </w:pPr>
            <w:r w:rsidRPr="00B42AD3">
              <w:rPr>
                <w:rFonts w:ascii="Arial" w:hAnsi="Arial" w:cs="Arial"/>
                <w:color w:val="000000"/>
                <w:bdr w:val="none" w:sz="0" w:space="0" w:color="auto" w:frame="1"/>
              </w:rPr>
              <w:t>Life-threatening or uncontrolled bleeding </w:t>
            </w:r>
          </w:p>
          <w:p w14:paraId="5E67F09F" w14:textId="77777777" w:rsidR="00B42AD3" w:rsidRPr="00B42AD3" w:rsidRDefault="00B42AD3" w:rsidP="00B42AD3">
            <w:pPr>
              <w:numPr>
                <w:ilvl w:val="1"/>
                <w:numId w:val="27"/>
              </w:numPr>
              <w:shd w:val="clear" w:color="auto" w:fill="FFFFFF"/>
              <w:spacing w:beforeAutospacing="1" w:after="0" w:afterAutospacing="1" w:line="240" w:lineRule="auto"/>
              <w:textAlignment w:val="baseline"/>
              <w:rPr>
                <w:rFonts w:ascii="Arial" w:hAnsi="Arial" w:cs="Arial"/>
                <w:color w:val="000000"/>
              </w:rPr>
            </w:pPr>
            <w:r w:rsidRPr="00B42AD3">
              <w:rPr>
                <w:rFonts w:ascii="Arial" w:hAnsi="Arial" w:cs="Arial"/>
                <w:color w:val="000000"/>
                <w:bdr w:val="none" w:sz="0" w:space="0" w:color="auto" w:frame="1"/>
              </w:rPr>
              <w:t>Emergency surgery or urgent invasive procedure </w:t>
            </w:r>
          </w:p>
          <w:p w14:paraId="2821E69F" w14:textId="6B815EBB" w:rsidR="00754203" w:rsidRPr="00B42AD3" w:rsidRDefault="00B42AD3" w:rsidP="00B42AD3">
            <w:pPr>
              <w:numPr>
                <w:ilvl w:val="1"/>
                <w:numId w:val="27"/>
              </w:numPr>
              <w:shd w:val="clear" w:color="auto" w:fill="FFFFFF"/>
              <w:spacing w:beforeAutospacing="1" w:after="0" w:afterAutospacing="1" w:line="240" w:lineRule="auto"/>
              <w:textAlignment w:val="baseline"/>
              <w:rPr>
                <w:rFonts w:ascii="Arial" w:hAnsi="Arial" w:cs="Arial"/>
                <w:color w:val="000000"/>
              </w:rPr>
            </w:pPr>
            <w:r w:rsidRPr="00B42AD3">
              <w:rPr>
                <w:rFonts w:ascii="Arial" w:hAnsi="Arial" w:cs="Arial"/>
                <w:color w:val="000000"/>
                <w:bdr w:val="none" w:sz="0" w:space="0" w:color="auto" w:frame="1"/>
              </w:rPr>
              <w:t>The dose of idarucizumab is 5g (2 x 2.5g/50ml) administered intravenously as a bolus injection</w:t>
            </w:r>
          </w:p>
        </w:tc>
      </w:tr>
      <w:tr w:rsidR="00754203" w:rsidRPr="007019B8" w14:paraId="6AE9D668" w14:textId="77777777" w:rsidTr="00D059D8">
        <w:trPr>
          <w:trHeight w:val="315"/>
        </w:trPr>
        <w:tc>
          <w:tcPr>
            <w:tcW w:w="2129" w:type="dxa"/>
            <w:vAlign w:val="center"/>
          </w:tcPr>
          <w:p w14:paraId="08603BDD" w14:textId="77777777" w:rsidR="00754203" w:rsidRPr="007019B8" w:rsidRDefault="00754203" w:rsidP="00D059D8">
            <w:pPr>
              <w:rPr>
                <w:rFonts w:ascii="Arial" w:hAnsi="Arial" w:cs="Arial"/>
              </w:rPr>
            </w:pPr>
            <w:r w:rsidRPr="007019B8">
              <w:rPr>
                <w:rFonts w:ascii="Arial" w:hAnsi="Arial" w:cs="Arial"/>
              </w:rPr>
              <w:lastRenderedPageBreak/>
              <w:t>Reason for audit</w:t>
            </w:r>
          </w:p>
        </w:tc>
        <w:tc>
          <w:tcPr>
            <w:tcW w:w="6916" w:type="dxa"/>
            <w:vAlign w:val="center"/>
          </w:tcPr>
          <w:p w14:paraId="6EE539DD" w14:textId="77777777" w:rsidR="00754203" w:rsidRPr="007019B8" w:rsidRDefault="00754203" w:rsidP="00D059D8">
            <w:pPr>
              <w:rPr>
                <w:rFonts w:ascii="Arial" w:hAnsi="Arial" w:cs="Arial"/>
              </w:rPr>
            </w:pPr>
            <w:r w:rsidRPr="007019B8">
              <w:rPr>
                <w:rFonts w:ascii="Arial" w:hAnsi="Arial" w:cs="Arial"/>
              </w:rPr>
              <w:t>To assess compliance with national guidelines.</w:t>
            </w:r>
          </w:p>
        </w:tc>
      </w:tr>
      <w:tr w:rsidR="00754203" w:rsidRPr="007019B8" w14:paraId="232EF09B" w14:textId="77777777" w:rsidTr="00D059D8">
        <w:trPr>
          <w:trHeight w:val="297"/>
        </w:trPr>
        <w:tc>
          <w:tcPr>
            <w:tcW w:w="2129" w:type="dxa"/>
            <w:vAlign w:val="center"/>
          </w:tcPr>
          <w:p w14:paraId="27D34F31" w14:textId="77777777" w:rsidR="00754203" w:rsidRPr="007019B8" w:rsidRDefault="00754203" w:rsidP="00D059D8">
            <w:pPr>
              <w:rPr>
                <w:rFonts w:ascii="Arial" w:hAnsi="Arial" w:cs="Arial"/>
              </w:rPr>
            </w:pPr>
            <w:r w:rsidRPr="007019B8">
              <w:rPr>
                <w:rFonts w:ascii="Arial" w:hAnsi="Arial" w:cs="Arial"/>
              </w:rPr>
              <w:t>Methodology</w:t>
            </w:r>
          </w:p>
        </w:tc>
        <w:tc>
          <w:tcPr>
            <w:tcW w:w="6916" w:type="dxa"/>
            <w:vAlign w:val="center"/>
          </w:tcPr>
          <w:p w14:paraId="7091C491" w14:textId="77777777" w:rsidR="00754203" w:rsidRPr="007019B8" w:rsidRDefault="00754203" w:rsidP="00D059D8">
            <w:pPr>
              <w:rPr>
                <w:rFonts w:ascii="Arial" w:hAnsi="Arial" w:cs="Arial"/>
              </w:rPr>
            </w:pPr>
            <w:r w:rsidRPr="007019B8">
              <w:rPr>
                <w:rFonts w:ascii="Arial" w:hAnsi="Arial" w:cs="Arial"/>
              </w:rPr>
              <w:t>Retrospective</w:t>
            </w:r>
          </w:p>
        </w:tc>
      </w:tr>
      <w:tr w:rsidR="00754203" w:rsidRPr="007019B8" w14:paraId="054F8EDB" w14:textId="77777777" w:rsidTr="00D059D8">
        <w:trPr>
          <w:trHeight w:val="2826"/>
        </w:trPr>
        <w:tc>
          <w:tcPr>
            <w:tcW w:w="2129" w:type="dxa"/>
            <w:vAlign w:val="center"/>
          </w:tcPr>
          <w:p w14:paraId="5AD11C96" w14:textId="77777777" w:rsidR="00754203" w:rsidRPr="007019B8" w:rsidRDefault="00754203" w:rsidP="00D059D8">
            <w:pPr>
              <w:rPr>
                <w:rFonts w:ascii="Arial" w:hAnsi="Arial" w:cs="Arial"/>
              </w:rPr>
            </w:pPr>
            <w:r w:rsidRPr="007019B8">
              <w:rPr>
                <w:rFonts w:ascii="Arial" w:hAnsi="Arial" w:cs="Arial"/>
              </w:rPr>
              <w:lastRenderedPageBreak/>
              <w:t>Sample population</w:t>
            </w:r>
          </w:p>
        </w:tc>
        <w:tc>
          <w:tcPr>
            <w:tcW w:w="6916" w:type="dxa"/>
            <w:vAlign w:val="center"/>
          </w:tcPr>
          <w:p w14:paraId="23427BC3" w14:textId="77777777" w:rsidR="00754203" w:rsidRPr="007019B8" w:rsidRDefault="00754203" w:rsidP="00D059D8">
            <w:pPr>
              <w:rPr>
                <w:rFonts w:ascii="Arial" w:hAnsi="Arial" w:cs="Arial"/>
                <w:b/>
                <w:bCs/>
              </w:rPr>
            </w:pPr>
            <w:r w:rsidRPr="007019B8">
              <w:rPr>
                <w:rFonts w:ascii="Arial" w:hAnsi="Arial" w:cs="Arial"/>
                <w:b/>
                <w:bCs/>
              </w:rPr>
              <w:t>Inclusion criteria</w:t>
            </w:r>
          </w:p>
          <w:p w14:paraId="4892B670" w14:textId="77777777" w:rsidR="00754203" w:rsidRPr="007019B8" w:rsidRDefault="00754203" w:rsidP="00754203">
            <w:pPr>
              <w:pStyle w:val="ListParagraph"/>
              <w:numPr>
                <w:ilvl w:val="0"/>
                <w:numId w:val="6"/>
              </w:numPr>
              <w:spacing w:after="0" w:line="240" w:lineRule="auto"/>
              <w:rPr>
                <w:rFonts w:ascii="Arial" w:hAnsi="Arial" w:cs="Arial"/>
              </w:rPr>
            </w:pPr>
            <w:r w:rsidRPr="007019B8">
              <w:rPr>
                <w:rFonts w:ascii="Arial" w:hAnsi="Arial" w:cs="Arial"/>
              </w:rPr>
              <w:t xml:space="preserve">Individuals ≥18 years of age </w:t>
            </w:r>
          </w:p>
          <w:p w14:paraId="3F6DD548" w14:textId="77777777" w:rsidR="00754203" w:rsidRPr="007019B8" w:rsidRDefault="00754203" w:rsidP="00754203">
            <w:pPr>
              <w:pStyle w:val="ListParagraph"/>
              <w:numPr>
                <w:ilvl w:val="0"/>
                <w:numId w:val="6"/>
              </w:numPr>
              <w:spacing w:after="0" w:line="240" w:lineRule="auto"/>
              <w:rPr>
                <w:rFonts w:ascii="Arial" w:hAnsi="Arial" w:cs="Arial"/>
              </w:rPr>
            </w:pPr>
            <w:r w:rsidRPr="007019B8">
              <w:rPr>
                <w:rFonts w:ascii="Arial" w:hAnsi="Arial" w:cs="Arial"/>
              </w:rPr>
              <w:t>Taking apixaban, dabigatran, edoxaban or rivaroxaban in any dose and frequency, for any indication</w:t>
            </w:r>
          </w:p>
          <w:p w14:paraId="739C08E4" w14:textId="77777777" w:rsidR="00754203" w:rsidRPr="007019B8" w:rsidRDefault="00754203" w:rsidP="00754203">
            <w:pPr>
              <w:pStyle w:val="ListParagraph"/>
              <w:numPr>
                <w:ilvl w:val="0"/>
                <w:numId w:val="6"/>
              </w:numPr>
              <w:spacing w:after="0" w:line="240" w:lineRule="auto"/>
              <w:rPr>
                <w:rFonts w:ascii="Arial" w:hAnsi="Arial" w:cs="Arial"/>
              </w:rPr>
            </w:pPr>
            <w:r w:rsidRPr="007019B8">
              <w:rPr>
                <w:rFonts w:ascii="Arial" w:hAnsi="Arial" w:cs="Arial"/>
              </w:rPr>
              <w:t>Treated with andexanet alfa, idarucizumab, or prothrombin complex concentrate (PCC) to mitigate bleeding or the risk of bleeding</w:t>
            </w:r>
          </w:p>
          <w:p w14:paraId="440DF595" w14:textId="77777777" w:rsidR="00754203" w:rsidRPr="007019B8" w:rsidRDefault="00754203" w:rsidP="00754203">
            <w:pPr>
              <w:pStyle w:val="ListParagraph"/>
              <w:numPr>
                <w:ilvl w:val="1"/>
                <w:numId w:val="6"/>
              </w:numPr>
              <w:spacing w:after="0" w:line="240" w:lineRule="auto"/>
              <w:rPr>
                <w:rFonts w:ascii="Arial" w:hAnsi="Arial" w:cs="Arial"/>
              </w:rPr>
            </w:pPr>
            <w:r w:rsidRPr="007019B8">
              <w:rPr>
                <w:rFonts w:ascii="Arial" w:hAnsi="Arial" w:cs="Arial"/>
              </w:rPr>
              <w:t>For bleeding of any severity</w:t>
            </w:r>
          </w:p>
          <w:p w14:paraId="66933E8D" w14:textId="77777777" w:rsidR="00754203" w:rsidRPr="007019B8" w:rsidRDefault="00754203" w:rsidP="00754203">
            <w:pPr>
              <w:pStyle w:val="ListParagraph"/>
              <w:numPr>
                <w:ilvl w:val="1"/>
                <w:numId w:val="6"/>
              </w:numPr>
              <w:spacing w:after="0" w:line="240" w:lineRule="auto"/>
              <w:rPr>
                <w:rFonts w:ascii="Arial" w:hAnsi="Arial" w:cs="Arial"/>
              </w:rPr>
            </w:pPr>
            <w:r w:rsidRPr="007019B8">
              <w:rPr>
                <w:rFonts w:ascii="Arial" w:hAnsi="Arial" w:cs="Arial"/>
              </w:rPr>
              <w:t>Prior to surgery of any urgency or bleeding risk</w:t>
            </w:r>
          </w:p>
          <w:p w14:paraId="39D396DE" w14:textId="77777777" w:rsidR="00754203" w:rsidRPr="007019B8" w:rsidRDefault="00754203" w:rsidP="00754203">
            <w:pPr>
              <w:pStyle w:val="ListParagraph"/>
              <w:numPr>
                <w:ilvl w:val="0"/>
                <w:numId w:val="6"/>
              </w:numPr>
              <w:spacing w:after="0" w:line="240" w:lineRule="auto"/>
              <w:rPr>
                <w:rFonts w:ascii="Arial" w:hAnsi="Arial" w:cs="Arial"/>
              </w:rPr>
            </w:pPr>
            <w:r w:rsidRPr="007019B8">
              <w:rPr>
                <w:rFonts w:ascii="Arial" w:hAnsi="Arial" w:cs="Arial"/>
              </w:rPr>
              <w:t>Treated from 1</w:t>
            </w:r>
            <w:r w:rsidRPr="007019B8">
              <w:rPr>
                <w:rFonts w:ascii="Arial" w:hAnsi="Arial" w:cs="Arial"/>
                <w:vertAlign w:val="superscript"/>
              </w:rPr>
              <w:t>st</w:t>
            </w:r>
            <w:r w:rsidRPr="007019B8">
              <w:rPr>
                <w:rFonts w:ascii="Arial" w:hAnsi="Arial" w:cs="Arial"/>
              </w:rPr>
              <w:t xml:space="preserve"> October 2020</w:t>
            </w:r>
          </w:p>
        </w:tc>
      </w:tr>
      <w:tr w:rsidR="00754203" w:rsidRPr="007019B8" w14:paraId="21C2ED24" w14:textId="77777777" w:rsidTr="00D059D8">
        <w:trPr>
          <w:trHeight w:val="315"/>
        </w:trPr>
        <w:tc>
          <w:tcPr>
            <w:tcW w:w="2129" w:type="dxa"/>
            <w:vAlign w:val="center"/>
          </w:tcPr>
          <w:p w14:paraId="5828109E" w14:textId="77777777" w:rsidR="00754203" w:rsidRPr="007019B8" w:rsidRDefault="00754203" w:rsidP="00D059D8">
            <w:pPr>
              <w:rPr>
                <w:rFonts w:ascii="Arial" w:hAnsi="Arial" w:cs="Arial"/>
              </w:rPr>
            </w:pPr>
            <w:r w:rsidRPr="007019B8">
              <w:rPr>
                <w:rFonts w:ascii="Arial" w:hAnsi="Arial" w:cs="Arial"/>
              </w:rPr>
              <w:t>Sample size</w:t>
            </w:r>
          </w:p>
        </w:tc>
        <w:tc>
          <w:tcPr>
            <w:tcW w:w="6916" w:type="dxa"/>
            <w:vAlign w:val="center"/>
          </w:tcPr>
          <w:p w14:paraId="14126BEC" w14:textId="07159ED3" w:rsidR="00C83A6E" w:rsidRPr="007019B8" w:rsidRDefault="00754203" w:rsidP="00D059D8">
            <w:pPr>
              <w:rPr>
                <w:rFonts w:ascii="Arial" w:hAnsi="Arial" w:cs="Arial"/>
              </w:rPr>
            </w:pPr>
            <w:r w:rsidRPr="007019B8">
              <w:rPr>
                <w:rFonts w:ascii="Arial" w:hAnsi="Arial" w:cs="Arial"/>
              </w:rPr>
              <w:t>Likely 25-</w:t>
            </w:r>
            <w:r w:rsidR="00441003">
              <w:rPr>
                <w:rFonts w:ascii="Arial" w:hAnsi="Arial" w:cs="Arial"/>
              </w:rPr>
              <w:t>200</w:t>
            </w:r>
            <w:r w:rsidRPr="007019B8">
              <w:rPr>
                <w:rFonts w:ascii="Arial" w:hAnsi="Arial" w:cs="Arial"/>
              </w:rPr>
              <w:t xml:space="preserve"> per NHS organisation</w:t>
            </w:r>
          </w:p>
        </w:tc>
      </w:tr>
      <w:tr w:rsidR="00754203" w:rsidRPr="007019B8" w14:paraId="47EF4457" w14:textId="77777777" w:rsidTr="00D059D8">
        <w:trPr>
          <w:trHeight w:val="612"/>
        </w:trPr>
        <w:tc>
          <w:tcPr>
            <w:tcW w:w="2129" w:type="dxa"/>
            <w:vAlign w:val="center"/>
          </w:tcPr>
          <w:p w14:paraId="4E103E97" w14:textId="77777777" w:rsidR="00754203" w:rsidRPr="007019B8" w:rsidRDefault="00754203" w:rsidP="00D059D8">
            <w:pPr>
              <w:rPr>
                <w:rFonts w:ascii="Arial" w:hAnsi="Arial" w:cs="Arial"/>
              </w:rPr>
            </w:pPr>
            <w:r w:rsidRPr="007019B8">
              <w:rPr>
                <w:rFonts w:ascii="Arial" w:hAnsi="Arial" w:cs="Arial"/>
              </w:rPr>
              <w:t>Sample selection method</w:t>
            </w:r>
          </w:p>
        </w:tc>
        <w:tc>
          <w:tcPr>
            <w:tcW w:w="6916" w:type="dxa"/>
            <w:vAlign w:val="center"/>
          </w:tcPr>
          <w:p w14:paraId="603E0FC1" w14:textId="77777777" w:rsidR="00754203" w:rsidRPr="007019B8" w:rsidRDefault="00754203" w:rsidP="00D059D8">
            <w:pPr>
              <w:rPr>
                <w:rFonts w:ascii="Arial" w:hAnsi="Arial" w:cs="Arial"/>
              </w:rPr>
            </w:pPr>
            <w:r w:rsidRPr="007019B8">
              <w:rPr>
                <w:rFonts w:ascii="Arial" w:hAnsi="Arial" w:cs="Arial"/>
              </w:rPr>
              <w:t>All patients who meet inclusion criteria</w:t>
            </w:r>
          </w:p>
        </w:tc>
      </w:tr>
      <w:tr w:rsidR="00754203" w:rsidRPr="007019B8" w14:paraId="78C3972F" w14:textId="77777777" w:rsidTr="00D059D8">
        <w:trPr>
          <w:trHeight w:val="631"/>
        </w:trPr>
        <w:tc>
          <w:tcPr>
            <w:tcW w:w="2129" w:type="dxa"/>
            <w:vAlign w:val="center"/>
          </w:tcPr>
          <w:p w14:paraId="411DA6A8" w14:textId="77777777" w:rsidR="00754203" w:rsidRPr="007019B8" w:rsidRDefault="00754203" w:rsidP="00D059D8">
            <w:pPr>
              <w:rPr>
                <w:rFonts w:ascii="Arial" w:hAnsi="Arial" w:cs="Arial"/>
              </w:rPr>
            </w:pPr>
            <w:r w:rsidRPr="007019B8">
              <w:rPr>
                <w:rFonts w:ascii="Arial" w:hAnsi="Arial" w:cs="Arial"/>
              </w:rPr>
              <w:t>Data collection method</w:t>
            </w:r>
          </w:p>
        </w:tc>
        <w:tc>
          <w:tcPr>
            <w:tcW w:w="6916" w:type="dxa"/>
            <w:vAlign w:val="center"/>
          </w:tcPr>
          <w:p w14:paraId="298F47D6" w14:textId="77777777" w:rsidR="00754203" w:rsidRPr="007019B8" w:rsidRDefault="00754203" w:rsidP="00D059D8">
            <w:pPr>
              <w:rPr>
                <w:rFonts w:ascii="Arial" w:hAnsi="Arial" w:cs="Arial"/>
              </w:rPr>
            </w:pPr>
            <w:r w:rsidRPr="007019B8">
              <w:rPr>
                <w:rFonts w:ascii="Arial" w:hAnsi="Arial" w:cs="Arial"/>
              </w:rPr>
              <w:t>Case note review</w:t>
            </w:r>
          </w:p>
        </w:tc>
      </w:tr>
      <w:tr w:rsidR="00754203" w:rsidRPr="007019B8" w14:paraId="2B8ECF6D" w14:textId="77777777" w:rsidTr="00D059D8">
        <w:trPr>
          <w:trHeight w:val="612"/>
        </w:trPr>
        <w:tc>
          <w:tcPr>
            <w:tcW w:w="2129" w:type="dxa"/>
            <w:vAlign w:val="center"/>
          </w:tcPr>
          <w:p w14:paraId="028BD9FE" w14:textId="77777777" w:rsidR="00754203" w:rsidRPr="007019B8" w:rsidRDefault="00754203" w:rsidP="00D059D8">
            <w:pPr>
              <w:rPr>
                <w:rFonts w:ascii="Arial" w:hAnsi="Arial" w:cs="Arial"/>
              </w:rPr>
            </w:pPr>
            <w:r w:rsidRPr="007019B8">
              <w:rPr>
                <w:rFonts w:ascii="Arial" w:hAnsi="Arial" w:cs="Arial"/>
              </w:rPr>
              <w:t>Audit/data collection tool</w:t>
            </w:r>
          </w:p>
        </w:tc>
        <w:tc>
          <w:tcPr>
            <w:tcW w:w="6916" w:type="dxa"/>
            <w:vAlign w:val="center"/>
          </w:tcPr>
          <w:p w14:paraId="4A3698C0" w14:textId="77777777" w:rsidR="00754203" w:rsidRPr="007019B8" w:rsidRDefault="00754203" w:rsidP="00D059D8">
            <w:pPr>
              <w:rPr>
                <w:rFonts w:ascii="Arial" w:hAnsi="Arial" w:cs="Arial"/>
              </w:rPr>
            </w:pPr>
            <w:r w:rsidRPr="007019B8">
              <w:rPr>
                <w:rFonts w:ascii="Arial" w:hAnsi="Arial" w:cs="Arial"/>
              </w:rPr>
              <w:t>See attached full protocol</w:t>
            </w:r>
          </w:p>
        </w:tc>
      </w:tr>
      <w:tr w:rsidR="00754203" w:rsidRPr="007019B8" w14:paraId="64CD3FE1" w14:textId="77777777" w:rsidTr="00D059D8">
        <w:trPr>
          <w:trHeight w:val="612"/>
        </w:trPr>
        <w:tc>
          <w:tcPr>
            <w:tcW w:w="2129" w:type="dxa"/>
            <w:vAlign w:val="center"/>
          </w:tcPr>
          <w:p w14:paraId="20B852A1" w14:textId="77777777" w:rsidR="00754203" w:rsidRPr="007019B8" w:rsidRDefault="00754203" w:rsidP="00D059D8">
            <w:pPr>
              <w:rPr>
                <w:rFonts w:ascii="Arial" w:hAnsi="Arial" w:cs="Arial"/>
              </w:rPr>
            </w:pPr>
            <w:r w:rsidRPr="007019B8">
              <w:rPr>
                <w:rFonts w:ascii="Arial" w:hAnsi="Arial" w:cs="Arial"/>
              </w:rPr>
              <w:t>Estimated start date</w:t>
            </w:r>
          </w:p>
        </w:tc>
        <w:tc>
          <w:tcPr>
            <w:tcW w:w="6916" w:type="dxa"/>
            <w:vAlign w:val="center"/>
          </w:tcPr>
          <w:p w14:paraId="5A46AFA5" w14:textId="77777777" w:rsidR="00754203" w:rsidRPr="007019B8" w:rsidRDefault="00754203" w:rsidP="00D059D8">
            <w:pPr>
              <w:rPr>
                <w:rFonts w:ascii="Arial" w:hAnsi="Arial" w:cs="Arial"/>
              </w:rPr>
            </w:pPr>
            <w:r w:rsidRPr="007019B8">
              <w:rPr>
                <w:rFonts w:ascii="Arial" w:hAnsi="Arial" w:cs="Arial"/>
              </w:rPr>
              <w:t>1</w:t>
            </w:r>
            <w:r w:rsidRPr="007019B8">
              <w:rPr>
                <w:rFonts w:ascii="Arial" w:hAnsi="Arial" w:cs="Arial"/>
                <w:vertAlign w:val="superscript"/>
              </w:rPr>
              <w:t>st</w:t>
            </w:r>
            <w:r w:rsidRPr="007019B8">
              <w:rPr>
                <w:rFonts w:ascii="Arial" w:hAnsi="Arial" w:cs="Arial"/>
              </w:rPr>
              <w:t xml:space="preserve"> May 2022</w:t>
            </w:r>
          </w:p>
        </w:tc>
      </w:tr>
      <w:tr w:rsidR="00754203" w:rsidRPr="007019B8" w14:paraId="3C30316F" w14:textId="77777777" w:rsidTr="00D059D8">
        <w:trPr>
          <w:trHeight w:val="315"/>
        </w:trPr>
        <w:tc>
          <w:tcPr>
            <w:tcW w:w="2129" w:type="dxa"/>
            <w:vAlign w:val="center"/>
          </w:tcPr>
          <w:p w14:paraId="31188D01" w14:textId="77777777" w:rsidR="00754203" w:rsidRPr="007019B8" w:rsidRDefault="00754203" w:rsidP="00D059D8">
            <w:pPr>
              <w:rPr>
                <w:rFonts w:ascii="Arial" w:hAnsi="Arial" w:cs="Arial"/>
              </w:rPr>
            </w:pPr>
            <w:r w:rsidRPr="007019B8">
              <w:rPr>
                <w:rFonts w:ascii="Arial" w:hAnsi="Arial" w:cs="Arial"/>
              </w:rPr>
              <w:t>Estimated end date</w:t>
            </w:r>
          </w:p>
        </w:tc>
        <w:tc>
          <w:tcPr>
            <w:tcW w:w="6916" w:type="dxa"/>
            <w:vAlign w:val="center"/>
          </w:tcPr>
          <w:p w14:paraId="15E63948" w14:textId="77777777" w:rsidR="00754203" w:rsidRPr="007019B8" w:rsidRDefault="00754203" w:rsidP="00D059D8">
            <w:pPr>
              <w:rPr>
                <w:rFonts w:ascii="Arial" w:hAnsi="Arial" w:cs="Arial"/>
              </w:rPr>
            </w:pPr>
            <w:r w:rsidRPr="007019B8">
              <w:rPr>
                <w:rFonts w:ascii="Arial" w:hAnsi="Arial" w:cs="Arial"/>
              </w:rPr>
              <w:t>31</w:t>
            </w:r>
            <w:r w:rsidRPr="007019B8">
              <w:rPr>
                <w:rFonts w:ascii="Arial" w:hAnsi="Arial" w:cs="Arial"/>
                <w:vertAlign w:val="superscript"/>
              </w:rPr>
              <w:t>st</w:t>
            </w:r>
            <w:r w:rsidRPr="007019B8">
              <w:rPr>
                <w:rFonts w:ascii="Arial" w:hAnsi="Arial" w:cs="Arial"/>
              </w:rPr>
              <w:t xml:space="preserve"> November 2023</w:t>
            </w:r>
          </w:p>
        </w:tc>
      </w:tr>
      <w:tr w:rsidR="00C83A6E" w:rsidRPr="007019B8" w14:paraId="0D279C11" w14:textId="77777777" w:rsidTr="00D059D8">
        <w:trPr>
          <w:trHeight w:val="315"/>
        </w:trPr>
        <w:tc>
          <w:tcPr>
            <w:tcW w:w="2129" w:type="dxa"/>
            <w:vAlign w:val="center"/>
          </w:tcPr>
          <w:p w14:paraId="446958B5" w14:textId="342C6A48" w:rsidR="00C83A6E" w:rsidRPr="007019B8" w:rsidRDefault="00C83A6E" w:rsidP="00D059D8">
            <w:pPr>
              <w:rPr>
                <w:rFonts w:ascii="Arial" w:hAnsi="Arial" w:cs="Arial"/>
              </w:rPr>
            </w:pPr>
            <w:r>
              <w:rPr>
                <w:rFonts w:ascii="Arial" w:hAnsi="Arial" w:cs="Arial"/>
              </w:rPr>
              <w:t>Data collection windows</w:t>
            </w:r>
          </w:p>
        </w:tc>
        <w:tc>
          <w:tcPr>
            <w:tcW w:w="6916" w:type="dxa"/>
            <w:vAlign w:val="center"/>
          </w:tcPr>
          <w:p w14:paraId="6CB0C5DB" w14:textId="77777777" w:rsidR="008B52F7" w:rsidRDefault="00C83A6E" w:rsidP="00D059D8">
            <w:pPr>
              <w:rPr>
                <w:rFonts w:ascii="Arial" w:hAnsi="Arial" w:cs="Arial"/>
              </w:rPr>
            </w:pPr>
            <w:r>
              <w:rPr>
                <w:rFonts w:ascii="Arial" w:hAnsi="Arial" w:cs="Arial"/>
              </w:rPr>
              <w:t>Data to be collected in two windows</w:t>
            </w:r>
          </w:p>
          <w:p w14:paraId="2A9AAE7C" w14:textId="77777777" w:rsidR="003E6C89" w:rsidRDefault="00C83A6E" w:rsidP="00D059D8">
            <w:pPr>
              <w:rPr>
                <w:rFonts w:ascii="Arial" w:hAnsi="Arial" w:cs="Arial"/>
              </w:rPr>
            </w:pPr>
            <w:r w:rsidRPr="008B52F7">
              <w:rPr>
                <w:rFonts w:ascii="Arial" w:hAnsi="Arial" w:cs="Arial"/>
                <w:u w:val="single"/>
              </w:rPr>
              <w:t>May-July 2022</w:t>
            </w:r>
            <w:r w:rsidR="008B52F7" w:rsidRPr="008B52F7">
              <w:rPr>
                <w:rFonts w:ascii="Arial" w:hAnsi="Arial" w:cs="Arial"/>
                <w:u w:val="single"/>
              </w:rPr>
              <w:br/>
            </w:r>
            <w:r w:rsidR="008B52F7">
              <w:rPr>
                <w:rFonts w:ascii="Arial" w:hAnsi="Arial" w:cs="Arial"/>
              </w:rPr>
              <w:t>To collect data from 1</w:t>
            </w:r>
            <w:r w:rsidR="008B52F7" w:rsidRPr="008B52F7">
              <w:rPr>
                <w:rFonts w:ascii="Arial" w:hAnsi="Arial" w:cs="Arial"/>
                <w:vertAlign w:val="superscript"/>
              </w:rPr>
              <w:t>st</w:t>
            </w:r>
            <w:r w:rsidR="008B52F7">
              <w:rPr>
                <w:rFonts w:ascii="Arial" w:hAnsi="Arial" w:cs="Arial"/>
              </w:rPr>
              <w:t xml:space="preserve"> October 2020 to 31</w:t>
            </w:r>
            <w:r w:rsidR="008B52F7" w:rsidRPr="008B52F7">
              <w:rPr>
                <w:rFonts w:ascii="Arial" w:hAnsi="Arial" w:cs="Arial"/>
                <w:vertAlign w:val="superscript"/>
              </w:rPr>
              <w:t>st</w:t>
            </w:r>
            <w:r w:rsidR="008B52F7">
              <w:rPr>
                <w:rFonts w:ascii="Arial" w:hAnsi="Arial" w:cs="Arial"/>
              </w:rPr>
              <w:t xml:space="preserve"> January 2022</w:t>
            </w:r>
          </w:p>
          <w:p w14:paraId="187CF74A" w14:textId="3AC65CBC" w:rsidR="00477574" w:rsidRPr="003E6C89" w:rsidRDefault="003E6C89" w:rsidP="00D059D8">
            <w:pPr>
              <w:rPr>
                <w:rFonts w:ascii="Arial" w:hAnsi="Arial" w:cs="Arial"/>
              </w:rPr>
            </w:pPr>
            <w:r>
              <w:rPr>
                <w:rFonts w:ascii="Arial" w:hAnsi="Arial" w:cs="Arial"/>
                <w:u w:val="single"/>
              </w:rPr>
              <w:t>October</w:t>
            </w:r>
            <w:r w:rsidR="00C83A6E" w:rsidRPr="003E6C89">
              <w:rPr>
                <w:rFonts w:ascii="Arial" w:hAnsi="Arial" w:cs="Arial"/>
                <w:u w:val="single"/>
              </w:rPr>
              <w:t>-December 2023</w:t>
            </w:r>
            <w:r>
              <w:rPr>
                <w:rFonts w:ascii="Arial" w:hAnsi="Arial" w:cs="Arial"/>
                <w:u w:val="single"/>
              </w:rPr>
              <w:br/>
            </w:r>
            <w:r>
              <w:rPr>
                <w:rFonts w:ascii="Arial" w:hAnsi="Arial" w:cs="Arial"/>
              </w:rPr>
              <w:t>To collect data from 31</w:t>
            </w:r>
            <w:r w:rsidRPr="003E6C89">
              <w:rPr>
                <w:rFonts w:ascii="Arial" w:hAnsi="Arial" w:cs="Arial"/>
                <w:vertAlign w:val="superscript"/>
              </w:rPr>
              <w:t>st</w:t>
            </w:r>
            <w:r>
              <w:rPr>
                <w:rFonts w:ascii="Arial" w:hAnsi="Arial" w:cs="Arial"/>
              </w:rPr>
              <w:t xml:space="preserve"> January 2022 to </w:t>
            </w:r>
            <w:r w:rsidR="00DC46F1">
              <w:rPr>
                <w:rFonts w:ascii="Arial" w:hAnsi="Arial" w:cs="Arial"/>
              </w:rPr>
              <w:t>30</w:t>
            </w:r>
            <w:r w:rsidR="00DC46F1" w:rsidRPr="00DC46F1">
              <w:rPr>
                <w:rFonts w:ascii="Arial" w:hAnsi="Arial" w:cs="Arial"/>
                <w:vertAlign w:val="superscript"/>
              </w:rPr>
              <w:t>th</w:t>
            </w:r>
            <w:r w:rsidR="00DC46F1">
              <w:rPr>
                <w:rFonts w:ascii="Arial" w:hAnsi="Arial" w:cs="Arial"/>
              </w:rPr>
              <w:t xml:space="preserve"> June 202</w:t>
            </w:r>
            <w:r w:rsidR="004414E8">
              <w:rPr>
                <w:rFonts w:ascii="Arial" w:hAnsi="Arial" w:cs="Arial"/>
              </w:rPr>
              <w:t>3</w:t>
            </w:r>
          </w:p>
        </w:tc>
      </w:tr>
      <w:tr w:rsidR="00754203" w:rsidRPr="007019B8" w14:paraId="133F5D0E" w14:textId="77777777" w:rsidTr="00D059D8">
        <w:trPr>
          <w:trHeight w:val="612"/>
        </w:trPr>
        <w:tc>
          <w:tcPr>
            <w:tcW w:w="2129" w:type="dxa"/>
            <w:vAlign w:val="center"/>
          </w:tcPr>
          <w:p w14:paraId="1FE54498" w14:textId="77777777" w:rsidR="00754203" w:rsidRPr="007019B8" w:rsidRDefault="00754203" w:rsidP="00D059D8">
            <w:pPr>
              <w:rPr>
                <w:rFonts w:ascii="Arial" w:hAnsi="Arial" w:cs="Arial"/>
              </w:rPr>
            </w:pPr>
            <w:r w:rsidRPr="007019B8">
              <w:rPr>
                <w:rFonts w:ascii="Arial" w:hAnsi="Arial" w:cs="Arial"/>
              </w:rPr>
              <w:t>Estimated presentation dates</w:t>
            </w:r>
          </w:p>
        </w:tc>
        <w:tc>
          <w:tcPr>
            <w:tcW w:w="6916" w:type="dxa"/>
            <w:vAlign w:val="center"/>
          </w:tcPr>
          <w:p w14:paraId="496DC585" w14:textId="0ABEF820" w:rsidR="00754203" w:rsidRPr="007019B8" w:rsidRDefault="00754203" w:rsidP="00D059D8">
            <w:pPr>
              <w:rPr>
                <w:rFonts w:ascii="Arial" w:hAnsi="Arial" w:cs="Arial"/>
              </w:rPr>
            </w:pPr>
            <w:r w:rsidRPr="007019B8">
              <w:rPr>
                <w:rFonts w:ascii="Arial" w:hAnsi="Arial" w:cs="Arial"/>
              </w:rPr>
              <w:t>1</w:t>
            </w:r>
            <w:r w:rsidRPr="007019B8">
              <w:rPr>
                <w:rFonts w:ascii="Arial" w:hAnsi="Arial" w:cs="Arial"/>
                <w:vertAlign w:val="superscript"/>
              </w:rPr>
              <w:t>st</w:t>
            </w:r>
            <w:r w:rsidRPr="007019B8">
              <w:rPr>
                <w:rFonts w:ascii="Arial" w:hAnsi="Arial" w:cs="Arial"/>
              </w:rPr>
              <w:t xml:space="preserve"> April 2023</w:t>
            </w:r>
            <w:r>
              <w:rPr>
                <w:rFonts w:ascii="Arial" w:hAnsi="Arial" w:cs="Arial"/>
              </w:rPr>
              <w:t xml:space="preserve"> (presentation of interim data)</w:t>
            </w:r>
            <w:r w:rsidR="006B779B">
              <w:rPr>
                <w:rFonts w:ascii="Arial" w:hAnsi="Arial" w:cs="Arial"/>
              </w:rPr>
              <w:br/>
            </w:r>
            <w:r w:rsidRPr="007019B8">
              <w:rPr>
                <w:rFonts w:ascii="Arial" w:hAnsi="Arial" w:cs="Arial"/>
              </w:rPr>
              <w:t>1</w:t>
            </w:r>
            <w:r w:rsidRPr="007019B8">
              <w:rPr>
                <w:rFonts w:ascii="Arial" w:hAnsi="Arial" w:cs="Arial"/>
                <w:vertAlign w:val="superscript"/>
              </w:rPr>
              <w:t>st</w:t>
            </w:r>
            <w:r w:rsidRPr="007019B8">
              <w:rPr>
                <w:rFonts w:ascii="Arial" w:hAnsi="Arial" w:cs="Arial"/>
              </w:rPr>
              <w:t xml:space="preserve"> April 2024</w:t>
            </w:r>
            <w:r>
              <w:rPr>
                <w:rFonts w:ascii="Arial" w:hAnsi="Arial" w:cs="Arial"/>
              </w:rPr>
              <w:t xml:space="preserve"> (presentation of full data)</w:t>
            </w:r>
          </w:p>
        </w:tc>
      </w:tr>
    </w:tbl>
    <w:p w14:paraId="00E19E7B" w14:textId="77777777" w:rsidR="00754203" w:rsidRPr="007019B8" w:rsidRDefault="00754203" w:rsidP="00754203">
      <w:pPr>
        <w:rPr>
          <w:rFonts w:ascii="Arial" w:hAnsi="Arial" w:cs="Arial"/>
          <w:b/>
          <w:bCs/>
        </w:rPr>
      </w:pPr>
    </w:p>
    <w:p w14:paraId="6A899798" w14:textId="77777777" w:rsidR="00754203" w:rsidRPr="007019B8" w:rsidRDefault="00754203" w:rsidP="00754203">
      <w:pPr>
        <w:rPr>
          <w:rFonts w:ascii="Arial" w:hAnsi="Arial" w:cs="Arial"/>
          <w:b/>
          <w:bCs/>
        </w:rPr>
      </w:pPr>
      <w:r w:rsidRPr="007019B8">
        <w:rPr>
          <w:rFonts w:ascii="Arial" w:hAnsi="Arial" w:cs="Arial"/>
          <w:b/>
          <w:bCs/>
        </w:rPr>
        <w:t xml:space="preserve">How </w:t>
      </w:r>
      <w:r>
        <w:rPr>
          <w:rFonts w:ascii="Arial" w:hAnsi="Arial" w:cs="Arial"/>
          <w:b/>
          <w:bCs/>
        </w:rPr>
        <w:t>to find</w:t>
      </w:r>
      <w:r w:rsidRPr="007019B8">
        <w:rPr>
          <w:rFonts w:ascii="Arial" w:hAnsi="Arial" w:cs="Arial"/>
          <w:b/>
          <w:bCs/>
        </w:rPr>
        <w:t xml:space="preserve"> patients who may be eligible for the audit?</w:t>
      </w:r>
    </w:p>
    <w:p w14:paraId="3B8983ED" w14:textId="77777777" w:rsidR="00754203" w:rsidRPr="007019B8" w:rsidRDefault="00754203" w:rsidP="00754203">
      <w:pPr>
        <w:rPr>
          <w:rFonts w:ascii="Arial" w:hAnsi="Arial" w:cs="Arial"/>
        </w:rPr>
      </w:pPr>
      <w:r w:rsidRPr="007019B8">
        <w:rPr>
          <w:rFonts w:ascii="Arial" w:hAnsi="Arial" w:cs="Arial"/>
        </w:rPr>
        <w:t>Although every site will require a slightly different approach, we recommend the following steps to identify patients.</w:t>
      </w:r>
    </w:p>
    <w:p w14:paraId="2596FB02" w14:textId="77777777" w:rsidR="00754203" w:rsidRPr="007019B8" w:rsidRDefault="00754203" w:rsidP="00754203">
      <w:pPr>
        <w:pStyle w:val="ListParagraph"/>
        <w:numPr>
          <w:ilvl w:val="0"/>
          <w:numId w:val="17"/>
        </w:numPr>
        <w:rPr>
          <w:rFonts w:ascii="Arial" w:hAnsi="Arial" w:cs="Arial"/>
        </w:rPr>
      </w:pPr>
      <w:r w:rsidRPr="007019B8">
        <w:rPr>
          <w:rFonts w:ascii="Arial" w:hAnsi="Arial" w:cs="Arial"/>
        </w:rPr>
        <w:t>Acquire</w:t>
      </w:r>
      <w:r>
        <w:rPr>
          <w:rFonts w:ascii="Arial" w:hAnsi="Arial" w:cs="Arial"/>
        </w:rPr>
        <w:t xml:space="preserve"> a</w:t>
      </w:r>
      <w:r w:rsidRPr="007019B8">
        <w:rPr>
          <w:rFonts w:ascii="Arial" w:hAnsi="Arial" w:cs="Arial"/>
        </w:rPr>
        <w:t xml:space="preserve"> list of patient numbers from hospital pharmacy and/or blood bank depending on where each product (andexanet alfa, PCC (beriplex or octaplex), idarucizumab) is stocked.</w:t>
      </w:r>
    </w:p>
    <w:p w14:paraId="2C284263" w14:textId="77777777" w:rsidR="00754203" w:rsidRPr="007019B8" w:rsidRDefault="00754203" w:rsidP="00754203">
      <w:pPr>
        <w:pStyle w:val="ListParagraph"/>
        <w:numPr>
          <w:ilvl w:val="0"/>
          <w:numId w:val="17"/>
        </w:numPr>
        <w:rPr>
          <w:rFonts w:ascii="Arial" w:hAnsi="Arial" w:cs="Arial"/>
        </w:rPr>
      </w:pPr>
      <w:r w:rsidRPr="007019B8">
        <w:rPr>
          <w:rFonts w:ascii="Arial" w:hAnsi="Arial" w:cs="Arial"/>
        </w:rPr>
        <w:t xml:space="preserve">Screen patients </w:t>
      </w:r>
      <w:r>
        <w:rPr>
          <w:rFonts w:ascii="Arial" w:hAnsi="Arial" w:cs="Arial"/>
        </w:rPr>
        <w:t xml:space="preserve">who have received PCC </w:t>
      </w:r>
      <w:r w:rsidRPr="007019B8">
        <w:rPr>
          <w:rFonts w:ascii="Arial" w:hAnsi="Arial" w:cs="Arial"/>
        </w:rPr>
        <w:t>to exclude patients receiving this for indications other than DOAC-reversal (</w:t>
      </w:r>
      <w:proofErr w:type="gramStart"/>
      <w:r w:rsidRPr="007019B8">
        <w:rPr>
          <w:rFonts w:ascii="Arial" w:hAnsi="Arial" w:cs="Arial"/>
        </w:rPr>
        <w:t>e.g.</w:t>
      </w:r>
      <w:proofErr w:type="gramEnd"/>
      <w:r w:rsidRPr="007019B8">
        <w:rPr>
          <w:rFonts w:ascii="Arial" w:hAnsi="Arial" w:cs="Arial"/>
        </w:rPr>
        <w:t xml:space="preserve"> warfarin reversal or DIC).</w:t>
      </w:r>
      <w:r w:rsidRPr="007019B8">
        <w:rPr>
          <w:rFonts w:ascii="Arial" w:hAnsi="Arial" w:cs="Arial"/>
          <w:b/>
          <w:bCs/>
        </w:rPr>
        <w:br w:type="page"/>
      </w:r>
    </w:p>
    <w:p w14:paraId="1F878E75" w14:textId="77777777" w:rsidR="00754203" w:rsidRPr="007019B8" w:rsidRDefault="00754203" w:rsidP="00754203">
      <w:pPr>
        <w:pStyle w:val="Heading1"/>
        <w:rPr>
          <w:rFonts w:ascii="Arial" w:hAnsi="Arial" w:cs="Arial"/>
          <w:b/>
          <w:bCs/>
          <w:color w:val="auto"/>
        </w:rPr>
      </w:pPr>
      <w:bookmarkStart w:id="3" w:name="_Toc97120369"/>
      <w:r w:rsidRPr="007019B8">
        <w:rPr>
          <w:rFonts w:ascii="Arial" w:hAnsi="Arial" w:cs="Arial"/>
          <w:b/>
          <w:bCs/>
          <w:color w:val="auto"/>
        </w:rPr>
        <w:lastRenderedPageBreak/>
        <w:t>Project summary</w:t>
      </w:r>
      <w:bookmarkEnd w:id="3"/>
    </w:p>
    <w:p w14:paraId="2E70E4B7" w14:textId="77777777" w:rsidR="00754203" w:rsidRPr="007019B8" w:rsidRDefault="00754203" w:rsidP="00754203">
      <w:pPr>
        <w:rPr>
          <w:rFonts w:ascii="Arial" w:hAnsi="Arial" w:cs="Arial"/>
        </w:rPr>
      </w:pPr>
      <w:proofErr w:type="gramStart"/>
      <w:r w:rsidRPr="007019B8">
        <w:rPr>
          <w:rFonts w:ascii="Arial" w:hAnsi="Arial" w:cs="Arial"/>
        </w:rPr>
        <w:t>The vast majority of</w:t>
      </w:r>
      <w:proofErr w:type="gramEnd"/>
      <w:r w:rsidRPr="007019B8">
        <w:rPr>
          <w:rFonts w:ascii="Arial" w:hAnsi="Arial" w:cs="Arial"/>
        </w:rPr>
        <w:t xml:space="preserve"> patients taking </w:t>
      </w:r>
      <w:r>
        <w:rPr>
          <w:rFonts w:ascii="Arial" w:hAnsi="Arial" w:cs="Arial"/>
        </w:rPr>
        <w:t>direct oral anticoagulants (DOACs)</w:t>
      </w:r>
      <w:r w:rsidRPr="007019B8">
        <w:rPr>
          <w:rFonts w:ascii="Arial" w:hAnsi="Arial" w:cs="Arial"/>
        </w:rPr>
        <w:t xml:space="preserve"> in the UK take an anti-factor </w:t>
      </w:r>
      <w:proofErr w:type="spellStart"/>
      <w:r w:rsidRPr="007019B8">
        <w:rPr>
          <w:rFonts w:ascii="Arial" w:hAnsi="Arial" w:cs="Arial"/>
        </w:rPr>
        <w:t>Xa</w:t>
      </w:r>
      <w:proofErr w:type="spellEnd"/>
      <w:r w:rsidRPr="007019B8">
        <w:rPr>
          <w:rFonts w:ascii="Arial" w:hAnsi="Arial" w:cs="Arial"/>
        </w:rPr>
        <w:t xml:space="preserve"> medication which includes apixaban, rivaroxaban, and edoxaban. British Society of Haematology guidelines for the Management of Bleeding in Patients on Antithrombotic Agents</w:t>
      </w:r>
      <w:r w:rsidRPr="007019B8">
        <w:rPr>
          <w:rFonts w:ascii="Arial" w:hAnsi="Arial" w:cs="Arial"/>
        </w:rPr>
        <w:fldChar w:fldCharType="begin" w:fldLock="1"/>
      </w:r>
      <w:r w:rsidRPr="007019B8">
        <w:rPr>
          <w:rFonts w:ascii="Arial" w:hAnsi="Arial" w:cs="Arial"/>
        </w:rPr>
        <w:instrText>ADDIN CSL_CITATION {"citationItems":[{"id":"ITEM-1","itemData":{"DOI":"10.1111/bjh.12107","ISSN":"00071048","PMID":"23116425","author":[{"dropping-particle":"","family":"Makris","given":"Mike","non-dropping-particle":"","parse-names":false,"suffix":""},{"dropping-particle":"","family":"Veen","given":"Joost J.","non-dropping-particle":"Van","parse-names":false,"suffix":""},{"dropping-particle":"","family":"Tait","given":"Campbell R.","non-dropping-particle":"","parse-names":false,"suffix":""},{"dropping-particle":"","family":"Mumford","given":"Andrew D.","non-dropping-particle":"","parse-names":false,"suffix":""},{"dropping-particle":"","family":"Laffan","given":"Mike","non-dropping-particle":"","parse-names":false,"suffix":""}],"container-title":"British Journal of Haematology","id":"ITEM-1","issue":"1","issued":{"date-parts":[["2013"]]},"page":"35-46","title":"Guideline on the management of bleeding in patients on antithrombotic agents","type":"article-journal","volume":"160"},"uris":["http://www.mendeley.com/documents/?uuid=9a65d2bf-b173-41e7-a3bf-cad3c062e1d4"]}],"mendeley":{"formattedCitation":"&lt;sup&gt;&lt;sup&gt;1&lt;/sup&gt;&lt;/sup&gt;","plainTextFormattedCitation":"1","previouslyFormattedCitation":"&lt;sup&gt;&lt;sup&gt;1&lt;/sup&gt;&lt;/sup&gt;"},"properties":{"noteIndex":0},"schema":"https://github.com/citation-style-language/schema/raw/master/csl-citation.json"}</w:instrText>
      </w:r>
      <w:r w:rsidRPr="007019B8">
        <w:rPr>
          <w:rFonts w:ascii="Arial" w:hAnsi="Arial" w:cs="Arial"/>
        </w:rPr>
        <w:fldChar w:fldCharType="separate"/>
      </w:r>
      <w:r w:rsidRPr="007019B8">
        <w:rPr>
          <w:rFonts w:ascii="Arial" w:hAnsi="Arial" w:cs="Arial"/>
          <w:noProof/>
          <w:vertAlign w:val="superscript"/>
        </w:rPr>
        <w:t>1</w:t>
      </w:r>
      <w:r w:rsidRPr="007019B8">
        <w:rPr>
          <w:rFonts w:ascii="Arial" w:hAnsi="Arial" w:cs="Arial"/>
        </w:rPr>
        <w:fldChar w:fldCharType="end"/>
      </w:r>
      <w:r w:rsidRPr="007019B8">
        <w:rPr>
          <w:rFonts w:ascii="Arial" w:hAnsi="Arial" w:cs="Arial"/>
        </w:rPr>
        <w:t xml:space="preserve"> recommend that: </w:t>
      </w:r>
    </w:p>
    <w:p w14:paraId="3C02FB86" w14:textId="77777777" w:rsidR="00754203" w:rsidRPr="007019B8" w:rsidRDefault="00754203" w:rsidP="00754203">
      <w:pPr>
        <w:pStyle w:val="ListParagraph"/>
        <w:numPr>
          <w:ilvl w:val="0"/>
          <w:numId w:val="1"/>
        </w:numPr>
        <w:shd w:val="clear" w:color="auto" w:fill="FFFFFF"/>
        <w:spacing w:before="100" w:beforeAutospacing="1" w:after="100" w:afterAutospacing="1" w:line="240" w:lineRule="auto"/>
        <w:rPr>
          <w:rFonts w:ascii="Arial" w:hAnsi="Arial" w:cs="Arial"/>
        </w:rPr>
      </w:pPr>
      <w:r w:rsidRPr="007019B8">
        <w:rPr>
          <w:rFonts w:ascii="Arial" w:hAnsi="Arial" w:cs="Arial"/>
        </w:rPr>
        <w:t>There is no specific antidote for rivaroxaban. Management of bleeding should be through cessation of treatment and general haemostatic measures.</w:t>
      </w:r>
    </w:p>
    <w:p w14:paraId="5978229D" w14:textId="77777777" w:rsidR="00754203" w:rsidRDefault="00754203" w:rsidP="00754203">
      <w:pPr>
        <w:pStyle w:val="ListParagraph"/>
        <w:numPr>
          <w:ilvl w:val="0"/>
          <w:numId w:val="1"/>
        </w:numPr>
        <w:shd w:val="clear" w:color="auto" w:fill="FFFFFF"/>
        <w:spacing w:before="100" w:beforeAutospacing="1" w:after="100" w:afterAutospacing="1" w:line="240" w:lineRule="auto"/>
        <w:rPr>
          <w:rFonts w:ascii="Arial" w:hAnsi="Arial" w:cs="Arial"/>
        </w:rPr>
      </w:pPr>
      <w:r w:rsidRPr="007019B8">
        <w:rPr>
          <w:rFonts w:ascii="Arial" w:hAnsi="Arial" w:cs="Arial"/>
        </w:rPr>
        <w:t>In situations with ongoing life-threatening bleeding, PCC</w:t>
      </w:r>
      <w:r>
        <w:rPr>
          <w:rFonts w:ascii="Arial" w:hAnsi="Arial" w:cs="Arial"/>
        </w:rPr>
        <w:t xml:space="preserve"> … </w:t>
      </w:r>
      <w:r w:rsidRPr="007019B8">
        <w:rPr>
          <w:rFonts w:ascii="Arial" w:hAnsi="Arial" w:cs="Arial"/>
        </w:rPr>
        <w:t>should be considered.</w:t>
      </w:r>
    </w:p>
    <w:p w14:paraId="70D4C031" w14:textId="77777777" w:rsidR="00754203" w:rsidRPr="00657E6C" w:rsidRDefault="00754203" w:rsidP="00754203">
      <w:pPr>
        <w:shd w:val="clear" w:color="auto" w:fill="FFFFFF"/>
        <w:spacing w:before="100" w:beforeAutospacing="1" w:after="100" w:afterAutospacing="1" w:line="240" w:lineRule="auto"/>
        <w:rPr>
          <w:rFonts w:ascii="Arial" w:hAnsi="Arial" w:cs="Arial"/>
        </w:rPr>
      </w:pPr>
      <w:r>
        <w:rPr>
          <w:rFonts w:ascii="Arial" w:hAnsi="Arial" w:cs="Arial"/>
        </w:rPr>
        <w:t>These guidelines were written prior to the widespread use of apixaban and edoxaban but the use of PCC is generally accepted for treatment of patients taking these drugs who present with bleeding.</w:t>
      </w:r>
    </w:p>
    <w:p w14:paraId="2CDE0BDE" w14:textId="77777777" w:rsidR="00754203" w:rsidRPr="007019B8" w:rsidRDefault="00754203" w:rsidP="00754203">
      <w:pPr>
        <w:rPr>
          <w:rFonts w:ascii="Arial" w:hAnsi="Arial" w:cs="Arial"/>
        </w:rPr>
      </w:pPr>
      <w:r w:rsidRPr="007019B8">
        <w:rPr>
          <w:rFonts w:ascii="Arial" w:hAnsi="Arial" w:cs="Arial"/>
        </w:rPr>
        <w:t>A 2018 addendum recommended the use of idarucizumab for patients taking dabigatran who have major bleeding.</w:t>
      </w:r>
      <w:r w:rsidRPr="007019B8">
        <w:rPr>
          <w:rFonts w:ascii="Arial" w:hAnsi="Arial" w:cs="Arial"/>
        </w:rPr>
        <w:fldChar w:fldCharType="begin" w:fldLock="1"/>
      </w:r>
      <w:r w:rsidRPr="007019B8">
        <w:rPr>
          <w:rFonts w:ascii="Arial" w:hAnsi="Arial" w:cs="Arial"/>
        </w:rPr>
        <w:instrText>ADDIN CSL_CITATION {"citationItems":[{"id":"ITEM-1","itemData":{"DOI":"10.1111/bjh.12107","ISSN":"00071048","PMID":"23116425","author":[{"dropping-particle":"","family":"Alikhan","given":"Raza","non-dropping-particle":"","parse-names":false,"suffix":""}],"container-title":"British Journal of Haematology","id":"ITEM-1","issued":{"date-parts":[["2018"]]},"title":"Addendum to guideline on the management of bleeding in patients on antithrombotic agents","type":"article-journal"},"uris":["http://www.mendeley.com/documents/?uuid=815e36bb-e185-4984-83b6-4f57d0b1f7d3"]}],"mendeley":{"formattedCitation":"&lt;sup&gt;&lt;sup&gt;2&lt;/sup&gt;&lt;/sup&gt;","plainTextFormattedCitation":"2","previouslyFormattedCitation":"&lt;sup&gt;&lt;sup&gt;2&lt;/sup&gt;&lt;/sup&gt;"},"properties":{"noteIndex":0},"schema":"https://github.com/citation-style-language/schema/raw/master/csl-citation.json"}</w:instrText>
      </w:r>
      <w:r w:rsidRPr="007019B8">
        <w:rPr>
          <w:rFonts w:ascii="Arial" w:hAnsi="Arial" w:cs="Arial"/>
        </w:rPr>
        <w:fldChar w:fldCharType="separate"/>
      </w:r>
      <w:r w:rsidRPr="007019B8">
        <w:rPr>
          <w:rFonts w:ascii="Arial" w:hAnsi="Arial" w:cs="Arial"/>
          <w:noProof/>
          <w:vertAlign w:val="superscript"/>
        </w:rPr>
        <w:t>2</w:t>
      </w:r>
      <w:r w:rsidRPr="007019B8">
        <w:rPr>
          <w:rFonts w:ascii="Arial" w:hAnsi="Arial" w:cs="Arial"/>
        </w:rPr>
        <w:fldChar w:fldCharType="end"/>
      </w:r>
      <w:r w:rsidRPr="007019B8">
        <w:rPr>
          <w:rFonts w:ascii="Arial" w:hAnsi="Arial" w:cs="Arial"/>
        </w:rPr>
        <w:t xml:space="preserve"> In 2021, NICE approved the use of Andexanet alfa for treatment of patients taking apixaban and rivaroxaban who have acute, major gastrointestinal bleeding.</w:t>
      </w:r>
      <w:r w:rsidRPr="007019B8">
        <w:rPr>
          <w:rFonts w:ascii="Arial" w:hAnsi="Arial" w:cs="Arial"/>
        </w:rPr>
        <w:fldChar w:fldCharType="begin" w:fldLock="1"/>
      </w:r>
      <w:r>
        <w:rPr>
          <w:rFonts w:ascii="Arial" w:hAnsi="Arial" w:cs="Arial"/>
        </w:rPr>
        <w:instrText>ADDIN CSL_CITATION {"citationItems":[{"id":"ITEM-1","itemData":{"author":[{"dropping-particle":"","family":"National Institute for Health and Clinical Excellence","given":"","non-dropping-particle":"","parse-names":false,"suffix":""}],"id":"ITEM-1","issue":"September 2020","issued":{"date-parts":[["0"]]},"page":"1-18","title":"Appraisal consultation document Andexanet alfa for reversing anticoagulation from apixaban or rivaroxaban","type":"article-journal"},"uris":["http://www.mendeley.com/documents/?uuid=c4529331-dbf7-46ea-9898-bca7971cf13d"]}],"mendeley":{"formattedCitation":"&lt;sup&gt;&lt;sup&gt;4&lt;/sup&gt;&lt;/sup&gt;","plainTextFormattedCitation":"4","previouslyFormattedCitation":"&lt;sup&gt;&lt;sup&gt;3&lt;/sup&gt;&lt;/sup&gt;"},"properties":{"noteIndex":0},"schema":"https://github.com/citation-style-language/schema/raw/master/csl-citation.json"}</w:instrText>
      </w:r>
      <w:r w:rsidRPr="007019B8">
        <w:rPr>
          <w:rFonts w:ascii="Arial" w:hAnsi="Arial" w:cs="Arial"/>
        </w:rPr>
        <w:fldChar w:fldCharType="separate"/>
      </w:r>
      <w:r w:rsidRPr="002033FC">
        <w:rPr>
          <w:rFonts w:ascii="Arial" w:hAnsi="Arial" w:cs="Arial"/>
          <w:noProof/>
          <w:vertAlign w:val="superscript"/>
        </w:rPr>
        <w:t>4</w:t>
      </w:r>
      <w:r w:rsidRPr="007019B8">
        <w:rPr>
          <w:rFonts w:ascii="Arial" w:hAnsi="Arial" w:cs="Arial"/>
        </w:rPr>
        <w:fldChar w:fldCharType="end"/>
      </w:r>
      <w:r w:rsidRPr="007019B8">
        <w:rPr>
          <w:rFonts w:ascii="Arial" w:hAnsi="Arial" w:cs="Arial"/>
        </w:rPr>
        <w:t xml:space="preserve"> However, andexanet alfa is approved for use in all patients with major bleeding in Scotland.</w:t>
      </w:r>
      <w:r w:rsidRPr="007019B8">
        <w:rPr>
          <w:rFonts w:ascii="Arial" w:hAnsi="Arial" w:cs="Arial"/>
        </w:rPr>
        <w:fldChar w:fldCharType="begin" w:fldLock="1"/>
      </w:r>
      <w:r>
        <w:rPr>
          <w:rFonts w:ascii="Arial" w:hAnsi="Arial" w:cs="Arial"/>
        </w:rPr>
        <w:instrText>ADDIN CSL_CITATION {"citationItems":[{"id":"ITEM-1","itemData":{"URL":"https://www.scottishmedicines.org.uk/medicines-advice/andexanet-alfa-ondexxya-full-smc2273/","accessed":{"date-parts":[["2020","10","13"]]},"author":[{"dropping-particle":"","family":"Scottish Medicines Consortium","given":"","non-dropping-particle":"","parse-names":false,"suffix":""}],"id":"ITEM-1","issued":{"date-parts":[["2020"]]},"title":"Andexanet alfa (Ondexxya)","type":"webpage"},"uris":["http://www.mendeley.com/documents/?uuid=904146e2-fd45-38fb-82aa-b516f40f13a2"]}],"mendeley":{"formattedCitation":"&lt;sup&gt;&lt;sup&gt;5&lt;/sup&gt;&lt;/sup&gt;","plainTextFormattedCitation":"5","previouslyFormattedCitation":"&lt;sup&gt;&lt;sup&gt;4&lt;/sup&gt;&lt;/sup&gt;"},"properties":{"noteIndex":0},"schema":"https://github.com/citation-style-language/schema/raw/master/csl-citation.json"}</w:instrText>
      </w:r>
      <w:r w:rsidRPr="007019B8">
        <w:rPr>
          <w:rFonts w:ascii="Arial" w:hAnsi="Arial" w:cs="Arial"/>
        </w:rPr>
        <w:fldChar w:fldCharType="separate"/>
      </w:r>
      <w:r w:rsidRPr="002033FC">
        <w:rPr>
          <w:rFonts w:ascii="Arial" w:hAnsi="Arial" w:cs="Arial"/>
          <w:noProof/>
          <w:vertAlign w:val="superscript"/>
        </w:rPr>
        <w:t>5</w:t>
      </w:r>
      <w:r w:rsidRPr="007019B8">
        <w:rPr>
          <w:rFonts w:ascii="Arial" w:hAnsi="Arial" w:cs="Arial"/>
        </w:rPr>
        <w:fldChar w:fldCharType="end"/>
      </w:r>
    </w:p>
    <w:p w14:paraId="5D7A050F" w14:textId="77777777" w:rsidR="00754203" w:rsidRPr="007019B8" w:rsidRDefault="00754203" w:rsidP="00754203">
      <w:pPr>
        <w:rPr>
          <w:rFonts w:ascii="Arial" w:hAnsi="Arial" w:cs="Arial"/>
        </w:rPr>
      </w:pPr>
      <w:r w:rsidRPr="007019B8">
        <w:rPr>
          <w:rFonts w:ascii="Arial" w:hAnsi="Arial" w:cs="Arial"/>
        </w:rPr>
        <w:t>Despite these recommendations, empirical data to support the use of reversal agents is lacking. The use of idarucizumab and andexanet alfa are supported by single-arm trials and real-world analyses.</w:t>
      </w:r>
      <w:r w:rsidRPr="007019B8">
        <w:rPr>
          <w:rFonts w:ascii="Arial" w:hAnsi="Arial" w:cs="Arial"/>
        </w:rPr>
        <w:fldChar w:fldCharType="begin" w:fldLock="1"/>
      </w:r>
      <w:r>
        <w:rPr>
          <w:rFonts w:ascii="Arial" w:hAnsi="Arial" w:cs="Arial"/>
        </w:rPr>
        <w:instrText>ADDIN CSL_CITATION {"citationItems":[{"id":"ITEM-1","itemData":{"DOI":"10.2217/fca-2020-0073","ISSN":"1744-8298","abstract":"Aim: We describe the real-world utilization and outcomes associated with managing oral factor Xa inhibitor (FXai)-related major bleeds. Materials &amp; methods: Electronic records from 45 US hospitals ...","author":[{"dropping-particle":"","family":"Coleman","given":"Craig","non-dropping-particle":"","parse-names":false,"suffix":""},{"dropping-particle":"","family":"Dobesh","given":"Paul","non-dropping-particle":"","parse-names":false,"suffix":""},{"dropping-particle":"","family":"Danese","given":"Sherry","non-dropping-particle":"","parse-names":false,"suffix":""},{"dropping-particle":"","family":"Ulloa","given":"Julie","non-dropping-particle":"","parse-names":false,"suffix":""},{"dropping-particle":"","family":"Lovelace","given":"Belinda","non-dropping-particle":"","parse-names":false,"suffix":""}],"container-title":"Future Cardiology","id":"ITEM-1","issued":{"date-parts":[["2020","7","3"]]},"publisher":"Future Medicine Ltd London, UK","title":"Real-world management of oral factor Xa inhibitor-related bleeds with reversal or replacement agents including andexanet alfa and four-factor prothrombin complex concentrate: a multicenter study","type":"article-journal"},"uris":["http://www.mendeley.com/documents/?uuid=66e14233-8dcf-3977-b5de-7858bfb1df0f"]},{"id":"ITEM-2","itemData":{"DOI":"10.1016/j.ajem.2019.12.008","ISSN":"15328171","PMID":"31870672","abstract":"Objective: In 2018, the FDA approved andexanet alfa for the reversal of life-threatening hemorrhages in patients anticoagulated with apixaban or rivaroxaban. Yet, cost-effective factor Xa inhibitor reversal remains controversial. The objective of this study was to describe real world utilization of andexanet alfa. Methods: This was a retrospective case series of patients receiving andexanet alfa between July 28, 2018 and April 29, 2019 at a large academic health system. Baseline demographics, anticoagulant type and reversal, as well as brain imaging were collected. Primary endpoints were stability of hematoma for intracranial hemorrhage (ICH), and hemostatic effectiveness for patients undergoing surgical procedures. Secondary endpoints were thromboembolism and 30 day mortality. Results: Of the 25 patients evaluated, 13 received andexanet alfa for ICH. Eleven of the 13 had follow-up imaging available and stability was observed in 90.9%. Three patients received andexanet alfa for reversal prior to surgical procedures, and 100% hemostatic effectiveness was achieved. Nine patients received andexanet alfa for reversal of extracranial bleeding, including gastrointestinal bleed (n=4). There were no thrombotic events in our cohort, and 30 day mortality was 24%. Sixty-four percent of patients would have met exclusion criteria for the ANNEXA-4 trial. Conclusion: This is the largest series to date describing real-world utilization of andexanet alfa. Our series showed hemostatic efficacy in 90.9% of patients with ICH, and 100% in patients undergoing surgical procedures. There were no thrombotic complications. Yet, larger and comparative studies are needed to clarify the optimal agent and patient selection for reversal of factor Xa inhibitors.","author":[{"dropping-particle":"","family":"Brown","given":"Caitlin S.","non-dropping-particle":"","parse-names":false,"suffix":""},{"dropping-particle":"","family":"Scott","given":"Rachael A.","non-dropping-particle":"","parse-names":false,"suffix":""},{"dropping-particle":"","family":"Sridharan","given":"Meera","non-dropping-particle":"","parse-names":false,"suffix":""},{"dropping-particle":"","family":"Rabinstein","given":"Alejandro A.","non-dropping-particle":"","parse-names":false,"suffix":""}],"container-title":"American Journal of Emergency Medicine","id":"ITEM-2","issue":"4","issued":{"date-parts":[["2020","4","1"]]},"page":"810-814","publisher":"W.B. Saunders","title":"Real-world utilization of andexanet alfa","type":"article-journal","volume":"38"},"uris":["http://www.mendeley.com/documents/?uuid=bbc5b147-e1c8-3278-b09b-cd7844c9f6d7"]}],"mendeley":{"formattedCitation":"&lt;sup&gt;&lt;sup&gt;7&lt;/sup&gt;,&lt;sup&gt;8&lt;/sup&gt;&lt;/sup&gt;","plainTextFormattedCitation":"7,8","previouslyFormattedCitation":"&lt;sup&gt;&lt;sup&gt;5&lt;/sup&gt;,&lt;sup&gt;6&lt;/sup&gt;&lt;/sup&gt;"},"properties":{"noteIndex":0},"schema":"https://github.com/citation-style-language/schema/raw/master/csl-citation.json"}</w:instrText>
      </w:r>
      <w:r w:rsidRPr="007019B8">
        <w:rPr>
          <w:rFonts w:ascii="Arial" w:hAnsi="Arial" w:cs="Arial"/>
        </w:rPr>
        <w:fldChar w:fldCharType="separate"/>
      </w:r>
      <w:r w:rsidRPr="002033FC">
        <w:rPr>
          <w:rFonts w:ascii="Arial" w:hAnsi="Arial" w:cs="Arial"/>
          <w:noProof/>
          <w:vertAlign w:val="superscript"/>
        </w:rPr>
        <w:t>7,8</w:t>
      </w:r>
      <w:r w:rsidRPr="007019B8">
        <w:rPr>
          <w:rFonts w:ascii="Arial" w:hAnsi="Arial" w:cs="Arial"/>
        </w:rPr>
        <w:fldChar w:fldCharType="end"/>
      </w:r>
      <w:r w:rsidRPr="007019B8">
        <w:rPr>
          <w:rFonts w:ascii="Arial" w:hAnsi="Arial" w:cs="Arial"/>
        </w:rPr>
        <w:t xml:space="preserve">  PCC use is supported by retrospective, observational studies only. </w:t>
      </w:r>
    </w:p>
    <w:p w14:paraId="2D21003E" w14:textId="77777777" w:rsidR="00754203" w:rsidRPr="007019B8" w:rsidRDefault="00754203" w:rsidP="00754203">
      <w:pPr>
        <w:rPr>
          <w:rFonts w:ascii="Arial" w:hAnsi="Arial" w:cs="Arial"/>
        </w:rPr>
      </w:pPr>
      <w:r w:rsidRPr="007019B8">
        <w:rPr>
          <w:rFonts w:ascii="Arial" w:hAnsi="Arial" w:cs="Arial"/>
        </w:rPr>
        <w:t xml:space="preserve">Importantly, these agents are high-cost drugs with the typical cost of PCC at nearly £3,000 per treatment and andexanet alfa at £15,000 - £23,000 per dose. There are therefore substantial cost implications to the NHS and real-world data is urgently required to appraise the use of these drugs in the UK. Secondary aims of this project are to report the outcomes of patients who are treated with these drugs and to compare their efficacy. </w:t>
      </w:r>
    </w:p>
    <w:p w14:paraId="661324A9" w14:textId="77777777" w:rsidR="00754203" w:rsidRPr="007019B8" w:rsidRDefault="00754203" w:rsidP="00754203">
      <w:pPr>
        <w:pStyle w:val="Heading1"/>
        <w:rPr>
          <w:rFonts w:ascii="Arial" w:hAnsi="Arial" w:cs="Arial"/>
          <w:b/>
          <w:bCs/>
          <w:color w:val="auto"/>
        </w:rPr>
      </w:pPr>
      <w:bookmarkStart w:id="4" w:name="_Toc97120370"/>
      <w:r w:rsidRPr="007019B8">
        <w:rPr>
          <w:rFonts w:ascii="Arial" w:hAnsi="Arial" w:cs="Arial"/>
          <w:b/>
          <w:bCs/>
          <w:color w:val="auto"/>
        </w:rPr>
        <w:t>One-line summary</w:t>
      </w:r>
      <w:bookmarkEnd w:id="4"/>
    </w:p>
    <w:p w14:paraId="077254F2" w14:textId="77777777" w:rsidR="00754203" w:rsidRPr="007019B8" w:rsidRDefault="00754203" w:rsidP="00754203">
      <w:pPr>
        <w:rPr>
          <w:rFonts w:ascii="Arial" w:hAnsi="Arial" w:cs="Arial"/>
          <w:b/>
          <w:bCs/>
        </w:rPr>
      </w:pPr>
      <w:r w:rsidRPr="007019B8">
        <w:rPr>
          <w:rFonts w:ascii="Arial" w:hAnsi="Arial" w:cs="Arial"/>
        </w:rPr>
        <w:t>This national project aims</w:t>
      </w:r>
      <w:r w:rsidRPr="007019B8">
        <w:rPr>
          <w:rFonts w:ascii="Arial" w:hAnsi="Arial" w:cs="Arial"/>
          <w:b/>
          <w:bCs/>
        </w:rPr>
        <w:t xml:space="preserve"> </w:t>
      </w:r>
      <w:r w:rsidRPr="007019B8">
        <w:rPr>
          <w:rFonts w:ascii="Arial" w:hAnsi="Arial" w:cs="Arial"/>
        </w:rPr>
        <w:t xml:space="preserve">to audit the use of reversal agents in patients treated with direct oral anticoagulants (DOACs) who are bleeding. </w:t>
      </w:r>
    </w:p>
    <w:p w14:paraId="48316A75" w14:textId="77777777" w:rsidR="00754203" w:rsidRPr="007019B8" w:rsidRDefault="00754203" w:rsidP="00754203">
      <w:pPr>
        <w:rPr>
          <w:rFonts w:ascii="Arial" w:hAnsi="Arial" w:cs="Arial"/>
        </w:rPr>
      </w:pPr>
      <w:r w:rsidRPr="007019B8">
        <w:rPr>
          <w:rFonts w:ascii="Arial" w:hAnsi="Arial" w:cs="Arial"/>
        </w:rPr>
        <w:br w:type="page"/>
      </w:r>
    </w:p>
    <w:p w14:paraId="2ACDDA3B" w14:textId="77777777" w:rsidR="00754203" w:rsidRPr="007019B8" w:rsidRDefault="00754203" w:rsidP="00754203">
      <w:pPr>
        <w:pStyle w:val="Heading1"/>
        <w:rPr>
          <w:rFonts w:ascii="Arial" w:hAnsi="Arial" w:cs="Arial"/>
          <w:b/>
          <w:bCs/>
          <w:color w:val="auto"/>
        </w:rPr>
      </w:pPr>
      <w:bookmarkStart w:id="5" w:name="_Toc97120371"/>
      <w:r w:rsidRPr="007019B8">
        <w:rPr>
          <w:rFonts w:ascii="Arial" w:hAnsi="Arial" w:cs="Arial"/>
          <w:b/>
          <w:bCs/>
          <w:color w:val="auto"/>
        </w:rPr>
        <w:lastRenderedPageBreak/>
        <w:t>Project oversight</w:t>
      </w:r>
      <w:bookmarkEnd w:id="5"/>
    </w:p>
    <w:p w14:paraId="3639C71A" w14:textId="77777777" w:rsidR="00754203" w:rsidRPr="007019B8" w:rsidRDefault="00754203" w:rsidP="00754203">
      <w:pPr>
        <w:rPr>
          <w:rFonts w:ascii="Arial" w:hAnsi="Arial" w:cs="Arial"/>
          <w:b/>
          <w:bCs/>
        </w:rPr>
      </w:pPr>
      <w:r w:rsidRPr="007019B8">
        <w:rPr>
          <w:rFonts w:ascii="Arial" w:hAnsi="Arial" w:cs="Arial"/>
          <w:b/>
          <w:bCs/>
        </w:rPr>
        <w:br/>
        <w:t>Project lead</w:t>
      </w:r>
    </w:p>
    <w:p w14:paraId="6197F6BA" w14:textId="77777777" w:rsidR="00754203" w:rsidRPr="007019B8" w:rsidRDefault="00754203" w:rsidP="00754203">
      <w:pPr>
        <w:rPr>
          <w:rFonts w:ascii="Arial" w:hAnsi="Arial" w:cs="Arial"/>
        </w:rPr>
      </w:pPr>
      <w:r w:rsidRPr="007019B8">
        <w:rPr>
          <w:rFonts w:ascii="Arial" w:hAnsi="Arial" w:cs="Arial"/>
        </w:rPr>
        <w:t>Dr Richard Buka</w:t>
      </w:r>
      <w:r w:rsidRPr="007019B8">
        <w:rPr>
          <w:rFonts w:ascii="Arial" w:hAnsi="Arial" w:cs="Arial"/>
        </w:rPr>
        <w:br/>
        <w:t>Academic Clinical Fellow</w:t>
      </w:r>
      <w:r w:rsidRPr="007019B8">
        <w:rPr>
          <w:rFonts w:ascii="Arial" w:hAnsi="Arial" w:cs="Arial"/>
        </w:rPr>
        <w:br/>
        <w:t>Institute of Cardiovascular Sciences</w:t>
      </w:r>
      <w:r w:rsidRPr="007019B8">
        <w:rPr>
          <w:rFonts w:ascii="Arial" w:hAnsi="Arial" w:cs="Arial"/>
        </w:rPr>
        <w:br/>
        <w:t>University of Birmingham</w:t>
      </w:r>
      <w:r w:rsidRPr="007019B8">
        <w:rPr>
          <w:rFonts w:ascii="Arial" w:hAnsi="Arial" w:cs="Arial"/>
        </w:rPr>
        <w:br/>
        <w:t>Birmingham</w:t>
      </w:r>
      <w:r w:rsidRPr="007019B8">
        <w:rPr>
          <w:rFonts w:ascii="Arial" w:hAnsi="Arial" w:cs="Arial"/>
        </w:rPr>
        <w:br/>
        <w:t>UK</w:t>
      </w:r>
    </w:p>
    <w:p w14:paraId="1DE125F3" w14:textId="77777777" w:rsidR="00754203" w:rsidRPr="007019B8" w:rsidRDefault="00754203" w:rsidP="00754203">
      <w:pPr>
        <w:rPr>
          <w:rFonts w:ascii="Arial" w:hAnsi="Arial" w:cs="Arial"/>
        </w:rPr>
      </w:pPr>
      <w:r w:rsidRPr="007019B8">
        <w:rPr>
          <w:rFonts w:ascii="Arial" w:hAnsi="Arial" w:cs="Arial"/>
        </w:rPr>
        <w:t>Honorary Haematology Registrar</w:t>
      </w:r>
      <w:r w:rsidRPr="007019B8">
        <w:rPr>
          <w:rFonts w:ascii="Arial" w:hAnsi="Arial" w:cs="Arial"/>
        </w:rPr>
        <w:br/>
        <w:t>University Hospitals Birmingham NHS Foundation Trust</w:t>
      </w:r>
      <w:r w:rsidRPr="007019B8">
        <w:rPr>
          <w:rFonts w:ascii="Arial" w:hAnsi="Arial" w:cs="Arial"/>
        </w:rPr>
        <w:br/>
        <w:t>Birmingham</w:t>
      </w:r>
      <w:r w:rsidRPr="007019B8">
        <w:rPr>
          <w:rFonts w:ascii="Arial" w:hAnsi="Arial" w:cs="Arial"/>
        </w:rPr>
        <w:br/>
        <w:t>UK</w:t>
      </w:r>
    </w:p>
    <w:p w14:paraId="61798FBA" w14:textId="77777777" w:rsidR="00754203" w:rsidRPr="007019B8" w:rsidRDefault="005A5065" w:rsidP="00754203">
      <w:pPr>
        <w:rPr>
          <w:rFonts w:ascii="Arial" w:hAnsi="Arial" w:cs="Arial"/>
        </w:rPr>
      </w:pPr>
      <w:hyperlink r:id="rId14" w:history="1">
        <w:r w:rsidR="00754203" w:rsidRPr="007019B8">
          <w:rPr>
            <w:rStyle w:val="Hyperlink"/>
            <w:rFonts w:ascii="Arial" w:hAnsi="Arial" w:cs="Arial"/>
          </w:rPr>
          <w:t>richard.buka@nhs.net</w:t>
        </w:r>
      </w:hyperlink>
      <w:r w:rsidR="00754203" w:rsidRPr="007019B8">
        <w:rPr>
          <w:rFonts w:ascii="Arial" w:hAnsi="Arial" w:cs="Arial"/>
        </w:rPr>
        <w:t xml:space="preserve"> </w:t>
      </w:r>
    </w:p>
    <w:p w14:paraId="0F8BB21B" w14:textId="77777777" w:rsidR="00754203" w:rsidRPr="007019B8" w:rsidRDefault="00754203" w:rsidP="00754203">
      <w:pPr>
        <w:rPr>
          <w:rFonts w:ascii="Arial" w:hAnsi="Arial" w:cs="Arial"/>
          <w:b/>
          <w:bCs/>
        </w:rPr>
      </w:pPr>
    </w:p>
    <w:p w14:paraId="7D3C7FFC" w14:textId="77777777" w:rsidR="00754203" w:rsidRPr="007019B8" w:rsidRDefault="00754203" w:rsidP="00754203">
      <w:pPr>
        <w:rPr>
          <w:rFonts w:ascii="Arial" w:hAnsi="Arial" w:cs="Arial"/>
          <w:b/>
          <w:bCs/>
        </w:rPr>
      </w:pPr>
      <w:r w:rsidRPr="007019B8">
        <w:rPr>
          <w:rFonts w:ascii="Arial" w:hAnsi="Arial" w:cs="Arial"/>
          <w:b/>
          <w:bCs/>
        </w:rPr>
        <w:t>Senior investigator</w:t>
      </w:r>
    </w:p>
    <w:p w14:paraId="1506E002" w14:textId="77777777" w:rsidR="00754203" w:rsidRPr="007019B8" w:rsidRDefault="00754203" w:rsidP="00754203">
      <w:pPr>
        <w:rPr>
          <w:rFonts w:ascii="Arial" w:hAnsi="Arial" w:cs="Arial"/>
        </w:rPr>
      </w:pPr>
      <w:r w:rsidRPr="007019B8">
        <w:rPr>
          <w:rFonts w:ascii="Arial" w:hAnsi="Arial" w:cs="Arial"/>
        </w:rPr>
        <w:t>Dr Pip Nicolson</w:t>
      </w:r>
      <w:r w:rsidRPr="007019B8">
        <w:rPr>
          <w:rFonts w:ascii="Arial" w:hAnsi="Arial" w:cs="Arial"/>
        </w:rPr>
        <w:br/>
        <w:t>Clinical Lecturer</w:t>
      </w:r>
      <w:r w:rsidRPr="007019B8">
        <w:rPr>
          <w:rFonts w:ascii="Arial" w:hAnsi="Arial" w:cs="Arial"/>
        </w:rPr>
        <w:br/>
        <w:t>Institute of Cardiovascular Sciences</w:t>
      </w:r>
      <w:r w:rsidRPr="007019B8">
        <w:rPr>
          <w:rFonts w:ascii="Arial" w:hAnsi="Arial" w:cs="Arial"/>
        </w:rPr>
        <w:br/>
        <w:t>University of Birmingham</w:t>
      </w:r>
      <w:r w:rsidRPr="007019B8">
        <w:rPr>
          <w:rFonts w:ascii="Arial" w:hAnsi="Arial" w:cs="Arial"/>
        </w:rPr>
        <w:br/>
        <w:t>Birmingham</w:t>
      </w:r>
      <w:r w:rsidRPr="007019B8">
        <w:rPr>
          <w:rFonts w:ascii="Arial" w:hAnsi="Arial" w:cs="Arial"/>
        </w:rPr>
        <w:br/>
        <w:t>UK</w:t>
      </w:r>
    </w:p>
    <w:p w14:paraId="43CC7123" w14:textId="77777777" w:rsidR="00754203" w:rsidRPr="007019B8" w:rsidRDefault="00754203" w:rsidP="00754203">
      <w:pPr>
        <w:rPr>
          <w:rFonts w:ascii="Arial" w:hAnsi="Arial" w:cs="Arial"/>
        </w:rPr>
      </w:pPr>
      <w:r w:rsidRPr="007019B8">
        <w:rPr>
          <w:rFonts w:ascii="Arial" w:hAnsi="Arial" w:cs="Arial"/>
        </w:rPr>
        <w:t>Honorary Haematology Registrar</w:t>
      </w:r>
      <w:r w:rsidRPr="007019B8">
        <w:rPr>
          <w:rFonts w:ascii="Arial" w:hAnsi="Arial" w:cs="Arial"/>
        </w:rPr>
        <w:br/>
        <w:t>University Hospitals Birmingham NHS Foundation Trust</w:t>
      </w:r>
      <w:r w:rsidRPr="007019B8">
        <w:rPr>
          <w:rFonts w:ascii="Arial" w:hAnsi="Arial" w:cs="Arial"/>
        </w:rPr>
        <w:br/>
        <w:t>Birmingham</w:t>
      </w:r>
      <w:r w:rsidRPr="007019B8">
        <w:rPr>
          <w:rFonts w:ascii="Arial" w:hAnsi="Arial" w:cs="Arial"/>
        </w:rPr>
        <w:br/>
        <w:t>UK</w:t>
      </w:r>
    </w:p>
    <w:p w14:paraId="151D1F56" w14:textId="77777777" w:rsidR="00754203" w:rsidRPr="007019B8" w:rsidRDefault="005A5065" w:rsidP="00754203">
      <w:pPr>
        <w:rPr>
          <w:rFonts w:ascii="Arial" w:hAnsi="Arial" w:cs="Arial"/>
        </w:rPr>
      </w:pPr>
      <w:hyperlink r:id="rId15" w:history="1">
        <w:r w:rsidR="00754203" w:rsidRPr="007019B8">
          <w:rPr>
            <w:rStyle w:val="Hyperlink"/>
            <w:rFonts w:ascii="Arial" w:hAnsi="Arial" w:cs="Arial"/>
          </w:rPr>
          <w:t>pnicolson@nhs.net</w:t>
        </w:r>
      </w:hyperlink>
      <w:r w:rsidR="00754203" w:rsidRPr="007019B8">
        <w:rPr>
          <w:rFonts w:ascii="Arial" w:hAnsi="Arial" w:cs="Arial"/>
        </w:rPr>
        <w:t xml:space="preserve"> </w:t>
      </w:r>
    </w:p>
    <w:p w14:paraId="1947F4FF" w14:textId="77777777" w:rsidR="00754203" w:rsidRPr="007019B8" w:rsidRDefault="00754203" w:rsidP="00754203">
      <w:pPr>
        <w:rPr>
          <w:rFonts w:ascii="Arial" w:hAnsi="Arial" w:cs="Arial"/>
          <w:b/>
          <w:bCs/>
        </w:rPr>
      </w:pPr>
    </w:p>
    <w:p w14:paraId="788E8A70" w14:textId="5B41936E" w:rsidR="00754203" w:rsidRPr="007019B8" w:rsidRDefault="00E4361C" w:rsidP="00754203">
      <w:pPr>
        <w:rPr>
          <w:rFonts w:ascii="Arial" w:hAnsi="Arial" w:cs="Arial"/>
          <w:b/>
          <w:bCs/>
        </w:rPr>
      </w:pPr>
      <w:r>
        <w:rPr>
          <w:rFonts w:ascii="Arial" w:hAnsi="Arial" w:cs="Arial"/>
          <w:b/>
          <w:bCs/>
        </w:rPr>
        <w:t>Project Office</w:t>
      </w:r>
    </w:p>
    <w:p w14:paraId="0F61E68C" w14:textId="48201044" w:rsidR="00754203" w:rsidRDefault="00754203" w:rsidP="00754203">
      <w:pPr>
        <w:rPr>
          <w:rFonts w:ascii="Arial" w:hAnsi="Arial" w:cs="Arial"/>
        </w:rPr>
      </w:pPr>
      <w:r w:rsidRPr="007019B8">
        <w:rPr>
          <w:rFonts w:ascii="Arial" w:hAnsi="Arial" w:cs="Arial"/>
        </w:rPr>
        <w:t>Birmingham Centre for Observational and Prospective Studies</w:t>
      </w:r>
      <w:r w:rsidRPr="007019B8">
        <w:rPr>
          <w:rFonts w:ascii="Arial" w:hAnsi="Arial" w:cs="Arial"/>
        </w:rPr>
        <w:br/>
        <w:t>University of Birmingham</w:t>
      </w:r>
      <w:r w:rsidRPr="007019B8">
        <w:rPr>
          <w:rFonts w:ascii="Arial" w:hAnsi="Arial" w:cs="Arial"/>
        </w:rPr>
        <w:br/>
        <w:t>Birmingham</w:t>
      </w:r>
      <w:r w:rsidRPr="007019B8">
        <w:rPr>
          <w:rFonts w:ascii="Arial" w:hAnsi="Arial" w:cs="Arial"/>
        </w:rPr>
        <w:br/>
        <w:t>UK</w:t>
      </w:r>
    </w:p>
    <w:p w14:paraId="111CCBC9" w14:textId="1A727BE0" w:rsidR="0057314E" w:rsidRPr="007019B8" w:rsidRDefault="005A5065" w:rsidP="00754203">
      <w:pPr>
        <w:rPr>
          <w:rFonts w:ascii="Arial" w:hAnsi="Arial" w:cs="Arial"/>
        </w:rPr>
      </w:pPr>
      <w:hyperlink r:id="rId16" w:history="1">
        <w:r w:rsidR="0057314E" w:rsidRPr="0057314E">
          <w:rPr>
            <w:rStyle w:val="Hyperlink"/>
            <w:rFonts w:ascii="Arial" w:hAnsi="Arial" w:cs="Arial"/>
          </w:rPr>
          <w:t>bhamred@contacts.bham.ac.uk</w:t>
        </w:r>
      </w:hyperlink>
    </w:p>
    <w:p w14:paraId="462253B7" w14:textId="77777777" w:rsidR="00754203" w:rsidRPr="007019B8" w:rsidRDefault="00754203" w:rsidP="00754203">
      <w:pPr>
        <w:rPr>
          <w:rFonts w:ascii="Arial" w:hAnsi="Arial" w:cs="Arial"/>
        </w:rPr>
      </w:pPr>
    </w:p>
    <w:p w14:paraId="2DF268C0" w14:textId="77777777" w:rsidR="00754203" w:rsidRPr="007019B8" w:rsidRDefault="00754203" w:rsidP="00754203">
      <w:pPr>
        <w:rPr>
          <w:rFonts w:ascii="Arial" w:hAnsi="Arial" w:cs="Arial"/>
          <w:b/>
          <w:bCs/>
        </w:rPr>
      </w:pPr>
      <w:r w:rsidRPr="007019B8">
        <w:rPr>
          <w:rFonts w:ascii="Arial" w:hAnsi="Arial" w:cs="Arial"/>
          <w:b/>
          <w:bCs/>
        </w:rPr>
        <w:t>Project coordination</w:t>
      </w:r>
    </w:p>
    <w:p w14:paraId="47A95C5A" w14:textId="77777777" w:rsidR="00754203" w:rsidRPr="007019B8" w:rsidRDefault="00754203" w:rsidP="00754203">
      <w:pPr>
        <w:rPr>
          <w:rFonts w:ascii="Arial" w:hAnsi="Arial" w:cs="Arial"/>
        </w:rPr>
      </w:pPr>
      <w:r w:rsidRPr="007019B8">
        <w:rPr>
          <w:rFonts w:ascii="Arial" w:hAnsi="Arial" w:cs="Arial"/>
        </w:rPr>
        <w:t>HaemSTAR (</w:t>
      </w:r>
      <w:hyperlink r:id="rId17" w:history="1">
        <w:r w:rsidRPr="007019B8">
          <w:rPr>
            <w:rStyle w:val="Hyperlink"/>
            <w:rFonts w:ascii="Arial" w:hAnsi="Arial" w:cs="Arial"/>
          </w:rPr>
          <w:t>www.haemstar.org</w:t>
        </w:r>
      </w:hyperlink>
      <w:r w:rsidRPr="007019B8">
        <w:rPr>
          <w:rFonts w:ascii="Arial" w:hAnsi="Arial" w:cs="Arial"/>
        </w:rPr>
        <w:t>)</w:t>
      </w:r>
    </w:p>
    <w:p w14:paraId="4748B0ED" w14:textId="77777777" w:rsidR="00754203" w:rsidRPr="007019B8" w:rsidRDefault="00754203" w:rsidP="00754203">
      <w:pPr>
        <w:rPr>
          <w:rFonts w:ascii="Arial" w:hAnsi="Arial" w:cs="Arial"/>
          <w:b/>
          <w:bCs/>
        </w:rPr>
      </w:pPr>
      <w:r w:rsidRPr="007019B8">
        <w:rPr>
          <w:rFonts w:ascii="Arial" w:hAnsi="Arial" w:cs="Arial"/>
          <w:b/>
          <w:bCs/>
        </w:rPr>
        <w:t>Ethical approval</w:t>
      </w:r>
    </w:p>
    <w:p w14:paraId="4AB851D5" w14:textId="77777777" w:rsidR="00754203" w:rsidRPr="007019B8" w:rsidRDefault="00754203" w:rsidP="00754203">
      <w:pPr>
        <w:rPr>
          <w:rFonts w:ascii="Arial" w:hAnsi="Arial" w:cs="Arial"/>
        </w:rPr>
      </w:pPr>
      <w:r w:rsidRPr="007019B8">
        <w:rPr>
          <w:rFonts w:ascii="Arial" w:hAnsi="Arial" w:cs="Arial"/>
        </w:rPr>
        <w:t xml:space="preserve">As this project is an audit, formal ethical approval is not required. This has been confirmed with the University of Birmingham </w:t>
      </w:r>
      <w:proofErr w:type="spellStart"/>
      <w:r w:rsidRPr="007019B8">
        <w:rPr>
          <w:rFonts w:ascii="Arial" w:hAnsi="Arial" w:cs="Arial"/>
        </w:rPr>
        <w:t>BiCOPS</w:t>
      </w:r>
      <w:proofErr w:type="spellEnd"/>
      <w:r w:rsidRPr="007019B8">
        <w:rPr>
          <w:rFonts w:ascii="Arial" w:hAnsi="Arial" w:cs="Arial"/>
        </w:rPr>
        <w:t xml:space="preserve"> team</w:t>
      </w:r>
      <w:r>
        <w:rPr>
          <w:rFonts w:ascii="Arial" w:hAnsi="Arial" w:cs="Arial"/>
        </w:rPr>
        <w:t xml:space="preserve"> </w:t>
      </w:r>
      <w:r w:rsidRPr="007019B8">
        <w:rPr>
          <w:rFonts w:ascii="Arial" w:hAnsi="Arial" w:cs="Arial"/>
        </w:rPr>
        <w:t>and the NIHR “Is my study research?” tool</w:t>
      </w:r>
      <w:bookmarkStart w:id="6" w:name="_Toc59443359"/>
      <w:r w:rsidRPr="007019B8">
        <w:rPr>
          <w:rFonts w:ascii="Arial" w:hAnsi="Arial" w:cs="Arial"/>
        </w:rPr>
        <w:t>.</w:t>
      </w:r>
      <w:bookmarkEnd w:id="6"/>
    </w:p>
    <w:p w14:paraId="1C283B23" w14:textId="77777777" w:rsidR="00754203" w:rsidRPr="007019B8" w:rsidRDefault="00754203" w:rsidP="00754203">
      <w:pPr>
        <w:pStyle w:val="Heading1"/>
        <w:rPr>
          <w:rFonts w:ascii="Arial" w:hAnsi="Arial" w:cs="Arial"/>
          <w:b/>
          <w:bCs/>
          <w:color w:val="auto"/>
        </w:rPr>
      </w:pPr>
      <w:bookmarkStart w:id="7" w:name="_Toc97120372"/>
      <w:r w:rsidRPr="007019B8">
        <w:rPr>
          <w:rFonts w:ascii="Arial" w:hAnsi="Arial" w:cs="Arial"/>
          <w:b/>
          <w:bCs/>
          <w:color w:val="auto"/>
        </w:rPr>
        <w:lastRenderedPageBreak/>
        <w:t>Audit standards</w:t>
      </w:r>
      <w:bookmarkEnd w:id="7"/>
    </w:p>
    <w:p w14:paraId="4E7170A0" w14:textId="77777777" w:rsidR="00754203" w:rsidRPr="007019B8" w:rsidRDefault="00754203" w:rsidP="00754203">
      <w:pPr>
        <w:rPr>
          <w:rFonts w:ascii="Arial" w:hAnsi="Arial" w:cs="Arial"/>
          <w:b/>
          <w:bCs/>
        </w:rPr>
      </w:pPr>
      <w:r w:rsidRPr="007019B8">
        <w:rPr>
          <w:rFonts w:ascii="Arial" w:hAnsi="Arial" w:cs="Arial"/>
          <w:b/>
          <w:bCs/>
        </w:rPr>
        <w:t>Reference guidelines and recommendations</w:t>
      </w:r>
    </w:p>
    <w:p w14:paraId="70FA8BD4" w14:textId="77777777" w:rsidR="00754203" w:rsidRPr="007019B8" w:rsidRDefault="00754203" w:rsidP="00754203">
      <w:pPr>
        <w:rPr>
          <w:rFonts w:ascii="Arial" w:hAnsi="Arial" w:cs="Arial"/>
        </w:rPr>
      </w:pPr>
      <w:r w:rsidRPr="007019B8">
        <w:rPr>
          <w:rFonts w:ascii="Arial" w:hAnsi="Arial" w:cs="Arial"/>
          <w:b/>
          <w:bCs/>
        </w:rPr>
        <w:t>ISTH 2010</w:t>
      </w:r>
      <w:r w:rsidRPr="007019B8">
        <w:rPr>
          <w:rFonts w:ascii="Arial" w:hAnsi="Arial" w:cs="Arial"/>
        </w:rPr>
        <w:fldChar w:fldCharType="begin" w:fldLock="1"/>
      </w:r>
      <w:r>
        <w:rPr>
          <w:rFonts w:ascii="Arial" w:hAnsi="Arial" w:cs="Arial"/>
        </w:rPr>
        <w:instrText>ADDIN CSL_CITATION {"citationItems":[{"id":"ITEM-1","itemData":{"DOI":"10.1111/j.1538-7836.2009.03678.x","ISSN":"15387933","PMID":"19878532","abstract":"The definition of major bleeding varies between studies on surgical patients, particularly regarding the criteria for surgical wound-related bleeding. This diversity contributes to the difficulties in comparing data between trials. The Scientific and Standardization Committee (SSC), through its subcommittee on Control of Anticoagulation, of the International Society on Thrombosis and Haemostasis has previously published a recommendation for a harmonized definition of major bleeding in non-surgical studies. That definition has been adopted by the European Medicines Agency and is currently used in several non-surgical trials. A preliminary proposal for a parallel definition for surgical studies was presented at the 54th Annual Meeting of the SSC in Vienna, July 2008. Based on those discussions and further consultations with European and North American surgeons with experience from clinical trials a definition has been developed that should be applicable to all agents that interfere with hemostasis. The definition and the text that follows have been reviewed and approved by relevant co-chairs of the subcommittee and by the Executive Committee of the SSC. The intention is to seek approval of this definition from the regulatory authorities to enhance its incorporation into future clinical trial protocols. © 2009 International Society on Thrombosis and Haemostasis.","author":[{"dropping-particle":"","family":"Schulman","given":"S.","non-dropping-particle":"","parse-names":false,"suffix":""},{"dropping-particle":"","family":"Anger","given":"S. U.","non-dropping-particle":"","parse-names":false,"suffix":""},{"dropping-particle":"","family":"Bergqvist","given":"D.","non-dropping-particle":"","parse-names":false,"suffix":""},{"dropping-particle":"","family":"Eriksson","given":"B.","non-dropping-particle":"","parse-names":false,"suffix":""},{"dropping-particle":"","family":"Lassen","given":"M. R.","non-dropping-particle":"","parse-names":false,"suffix":""},{"dropping-particle":"","family":"Fisher","given":"W.","non-dropping-particle":"","parse-names":false,"suffix":""}],"container-title":"Journal of Thrombosis and Haemostasis","id":"ITEM-1","issue":"1","issued":{"date-parts":[["2010"]]},"page":"202-204","title":"Definition of major bleeding in clinical investigations of antihemostatic medicinal products in surgical patients","type":"article-journal","volume":"8"},"uris":["http://www.mendeley.com/documents/?uuid=a2e4cbe2-c89f-485d-88cc-2b8f0498d8bf"]}],"mendeley":{"formattedCitation":"&lt;sup&gt;&lt;sup&gt;6&lt;/sup&gt;&lt;/sup&gt;","plainTextFormattedCitation":"6","previouslyFormattedCitation":"&lt;sup&gt;&lt;sup&gt;8&lt;/sup&gt;&lt;/sup&gt;"},"properties":{"noteIndex":0},"schema":"https://github.com/citation-style-language/schema/raw/master/csl-citation.json"}</w:instrText>
      </w:r>
      <w:r w:rsidRPr="007019B8">
        <w:rPr>
          <w:rFonts w:ascii="Arial" w:hAnsi="Arial" w:cs="Arial"/>
        </w:rPr>
        <w:fldChar w:fldCharType="separate"/>
      </w:r>
      <w:r w:rsidRPr="002033FC">
        <w:rPr>
          <w:rFonts w:ascii="Arial" w:hAnsi="Arial" w:cs="Arial"/>
          <w:noProof/>
          <w:vertAlign w:val="superscript"/>
        </w:rPr>
        <w:t>6</w:t>
      </w:r>
      <w:r w:rsidRPr="007019B8">
        <w:rPr>
          <w:rFonts w:ascii="Arial" w:hAnsi="Arial" w:cs="Arial"/>
        </w:rPr>
        <w:fldChar w:fldCharType="end"/>
      </w:r>
      <w:r w:rsidRPr="007019B8">
        <w:rPr>
          <w:rFonts w:ascii="Arial" w:hAnsi="Arial" w:cs="Arial"/>
          <w:b/>
          <w:bCs/>
        </w:rPr>
        <w:br/>
      </w:r>
      <w:r w:rsidRPr="007019B8">
        <w:rPr>
          <w:rFonts w:ascii="Arial" w:hAnsi="Arial" w:cs="Arial"/>
        </w:rPr>
        <w:t xml:space="preserve">Schulman et al. Definition of major bleeding in clinical investigations of </w:t>
      </w:r>
      <w:proofErr w:type="spellStart"/>
      <w:r w:rsidRPr="007019B8">
        <w:rPr>
          <w:rFonts w:ascii="Arial" w:hAnsi="Arial" w:cs="Arial"/>
        </w:rPr>
        <w:t>antihemostatic</w:t>
      </w:r>
      <w:proofErr w:type="spellEnd"/>
      <w:r w:rsidRPr="007019B8">
        <w:rPr>
          <w:rFonts w:ascii="Arial" w:hAnsi="Arial" w:cs="Arial"/>
        </w:rPr>
        <w:t xml:space="preserve"> medicinal products in surgical patients.</w:t>
      </w:r>
    </w:p>
    <w:p w14:paraId="56D33ED2" w14:textId="77777777" w:rsidR="00754203" w:rsidRPr="007019B8" w:rsidRDefault="00754203" w:rsidP="00754203">
      <w:pPr>
        <w:pStyle w:val="ListParagraph"/>
        <w:numPr>
          <w:ilvl w:val="0"/>
          <w:numId w:val="14"/>
        </w:numPr>
        <w:rPr>
          <w:rFonts w:ascii="Arial" w:hAnsi="Arial" w:cs="Arial"/>
        </w:rPr>
      </w:pPr>
      <w:r w:rsidRPr="007019B8">
        <w:rPr>
          <w:rFonts w:ascii="Arial" w:hAnsi="Arial" w:cs="Arial"/>
        </w:rPr>
        <w:t>Contains definitions for major bleeding</w:t>
      </w:r>
    </w:p>
    <w:p w14:paraId="011DF368" w14:textId="77777777" w:rsidR="00754203" w:rsidRPr="007019B8" w:rsidRDefault="00754203" w:rsidP="00754203">
      <w:pPr>
        <w:rPr>
          <w:rFonts w:ascii="Arial" w:hAnsi="Arial" w:cs="Arial"/>
        </w:rPr>
      </w:pPr>
      <w:r w:rsidRPr="007019B8">
        <w:rPr>
          <w:rFonts w:ascii="Arial" w:hAnsi="Arial" w:cs="Arial"/>
          <w:b/>
          <w:bCs/>
        </w:rPr>
        <w:t>BSH 2012</w:t>
      </w:r>
      <w:r w:rsidRPr="007019B8">
        <w:rPr>
          <w:rFonts w:ascii="Arial" w:hAnsi="Arial" w:cs="Arial"/>
          <w:b/>
          <w:bCs/>
        </w:rPr>
        <w:fldChar w:fldCharType="begin" w:fldLock="1"/>
      </w:r>
      <w:r w:rsidRPr="007019B8">
        <w:rPr>
          <w:rFonts w:ascii="Arial" w:hAnsi="Arial" w:cs="Arial"/>
          <w:b/>
          <w:bCs/>
        </w:rPr>
        <w:instrText>ADDIN CSL_CITATION {"citationItems":[{"id":"ITEM-1","itemData":{"DOI":"10.1111/bjh.12107","ISSN":"00071048","PMID":"23116425","author":[{"dropping-particle":"","family":"Makris","given":"Mike","non-dropping-particle":"","parse-names":false,"suffix":""},{"dropping-particle":"","family":"Veen","given":"Joost J.","non-dropping-particle":"Van","parse-names":false,"suffix":""},{"dropping-particle":"","family":"Tait","given":"Campbell R.","non-dropping-particle":"","parse-names":false,"suffix":""},{"dropping-particle":"","family":"Mumford","given":"Andrew D.","non-dropping-particle":"","parse-names":false,"suffix":""},{"dropping-particle":"","family":"Laffan","given":"Mike","non-dropping-particle":"","parse-names":false,"suffix":""}],"container-title":"British Journal of Haematology","id":"ITEM-1","issue":"1","issued":{"date-parts":[["2013"]]},"page":"35-46","title":"Guideline on the management of bleeding in patients on antithrombotic agents","type":"article-journal","volume":"160"},"uris":["http://www.mendeley.com/documents/?uuid=9a65d2bf-b173-41e7-a3bf-cad3c062e1d4"]}],"mendeley":{"formattedCitation":"&lt;sup&gt;&lt;sup&gt;1&lt;/sup&gt;&lt;/sup&gt;","plainTextFormattedCitation":"1","previouslyFormattedCitation":"&lt;sup&gt;&lt;sup&gt;1&lt;/sup&gt;&lt;/sup&gt;"},"properties":{"noteIndex":0},"schema":"https://github.com/citation-style-language/schema/raw/master/csl-citation.json"}</w:instrText>
      </w:r>
      <w:r w:rsidRPr="007019B8">
        <w:rPr>
          <w:rFonts w:ascii="Arial" w:hAnsi="Arial" w:cs="Arial"/>
          <w:b/>
          <w:bCs/>
        </w:rPr>
        <w:fldChar w:fldCharType="separate"/>
      </w:r>
      <w:r w:rsidRPr="007019B8">
        <w:rPr>
          <w:rFonts w:ascii="Arial" w:hAnsi="Arial" w:cs="Arial"/>
          <w:bCs/>
          <w:noProof/>
          <w:vertAlign w:val="superscript"/>
        </w:rPr>
        <w:t>1</w:t>
      </w:r>
      <w:r w:rsidRPr="007019B8">
        <w:rPr>
          <w:rFonts w:ascii="Arial" w:hAnsi="Arial" w:cs="Arial"/>
          <w:b/>
          <w:bCs/>
        </w:rPr>
        <w:fldChar w:fldCharType="end"/>
      </w:r>
      <w:r w:rsidRPr="007019B8">
        <w:rPr>
          <w:rFonts w:ascii="Arial" w:hAnsi="Arial" w:cs="Arial"/>
        </w:rPr>
        <w:t xml:space="preserve"> </w:t>
      </w:r>
      <w:r w:rsidRPr="007019B8">
        <w:rPr>
          <w:rFonts w:ascii="Arial" w:hAnsi="Arial" w:cs="Arial"/>
        </w:rPr>
        <w:br/>
        <w:t>Makris et al. Guideline on the management of bleeding in patients on antithrombotic agents.</w:t>
      </w:r>
    </w:p>
    <w:p w14:paraId="750F8C95" w14:textId="77777777" w:rsidR="00754203" w:rsidRPr="007019B8" w:rsidRDefault="00754203" w:rsidP="00754203">
      <w:pPr>
        <w:pStyle w:val="ListParagraph"/>
        <w:numPr>
          <w:ilvl w:val="0"/>
          <w:numId w:val="15"/>
        </w:numPr>
        <w:shd w:val="clear" w:color="auto" w:fill="FFFFFF"/>
        <w:spacing w:before="100" w:beforeAutospacing="1" w:after="100" w:afterAutospacing="1" w:line="240" w:lineRule="auto"/>
        <w:rPr>
          <w:rFonts w:ascii="Arial" w:hAnsi="Arial" w:cs="Arial"/>
        </w:rPr>
      </w:pPr>
      <w:r w:rsidRPr="007019B8">
        <w:rPr>
          <w:rFonts w:ascii="Arial" w:hAnsi="Arial" w:cs="Arial"/>
        </w:rPr>
        <w:t>There is no specific antidote for rivaroxaban. Management of bleeding should be through cessation of treatment and general haemostatic measures.</w:t>
      </w:r>
    </w:p>
    <w:p w14:paraId="70912BFC" w14:textId="77777777" w:rsidR="00754203" w:rsidRPr="007019B8" w:rsidRDefault="00754203" w:rsidP="00754203">
      <w:pPr>
        <w:pStyle w:val="ListParagraph"/>
        <w:numPr>
          <w:ilvl w:val="0"/>
          <w:numId w:val="15"/>
        </w:numPr>
        <w:shd w:val="clear" w:color="auto" w:fill="FFFFFF"/>
        <w:spacing w:before="100" w:beforeAutospacing="1" w:after="100" w:afterAutospacing="1" w:line="240" w:lineRule="auto"/>
        <w:rPr>
          <w:rFonts w:ascii="Arial" w:hAnsi="Arial" w:cs="Arial"/>
        </w:rPr>
      </w:pPr>
      <w:r w:rsidRPr="007019B8">
        <w:rPr>
          <w:rFonts w:ascii="Arial" w:hAnsi="Arial" w:cs="Arial"/>
        </w:rPr>
        <w:t>In situations with ongoing life-threatening bleeding, PCC</w:t>
      </w:r>
      <w:r>
        <w:rPr>
          <w:rFonts w:ascii="Arial" w:hAnsi="Arial" w:cs="Arial"/>
        </w:rPr>
        <w:t xml:space="preserve"> …</w:t>
      </w:r>
      <w:r w:rsidRPr="007019B8">
        <w:rPr>
          <w:rFonts w:ascii="Arial" w:hAnsi="Arial" w:cs="Arial"/>
        </w:rPr>
        <w:t xml:space="preserve"> should be considered.</w:t>
      </w:r>
    </w:p>
    <w:p w14:paraId="0C5151AB" w14:textId="77777777" w:rsidR="00754203" w:rsidRPr="007019B8" w:rsidRDefault="00754203" w:rsidP="00754203">
      <w:pPr>
        <w:rPr>
          <w:rFonts w:ascii="Arial" w:hAnsi="Arial" w:cs="Arial"/>
          <w:b/>
          <w:bCs/>
        </w:rPr>
      </w:pPr>
      <w:r w:rsidRPr="007019B8">
        <w:rPr>
          <w:rFonts w:ascii="Arial" w:hAnsi="Arial" w:cs="Arial"/>
          <w:b/>
          <w:bCs/>
        </w:rPr>
        <w:t>BSH 2018</w:t>
      </w:r>
      <w:r w:rsidRPr="007019B8">
        <w:rPr>
          <w:rFonts w:ascii="Arial" w:hAnsi="Arial" w:cs="Arial"/>
          <w:b/>
          <w:bCs/>
        </w:rPr>
        <w:fldChar w:fldCharType="begin" w:fldLock="1"/>
      </w:r>
      <w:r w:rsidRPr="007019B8">
        <w:rPr>
          <w:rFonts w:ascii="Arial" w:hAnsi="Arial" w:cs="Arial"/>
          <w:b/>
          <w:bCs/>
        </w:rPr>
        <w:instrText>ADDIN CSL_CITATION {"citationItems":[{"id":"ITEM-1","itemData":{"DOI":"10.1111/bjh.12107","ISSN":"00071048","PMID":"23116425","author":[{"dropping-particle":"","family":"Alikhan","given":"Raza","non-dropping-particle":"","parse-names":false,"suffix":""}],"container-title":"British Journal of Haematology","id":"ITEM-1","issued":{"date-parts":[["2018"]]},"title":"Addendum to guideline on the management of bleeding in patients on antithrombotic agents","type":"article-journal"},"uris":["http://www.mendeley.com/documents/?uuid=815e36bb-e185-4984-83b6-4f57d0b1f7d3"]}],"mendeley":{"formattedCitation":"&lt;sup&gt;&lt;sup&gt;2&lt;/sup&gt;&lt;/sup&gt;","plainTextFormattedCitation":"2","previouslyFormattedCitation":"&lt;sup&gt;&lt;sup&gt;2&lt;/sup&gt;&lt;/sup&gt;"},"properties":{"noteIndex":0},"schema":"https://github.com/citation-style-language/schema/raw/master/csl-citation.json"}</w:instrText>
      </w:r>
      <w:r w:rsidRPr="007019B8">
        <w:rPr>
          <w:rFonts w:ascii="Arial" w:hAnsi="Arial" w:cs="Arial"/>
          <w:b/>
          <w:bCs/>
        </w:rPr>
        <w:fldChar w:fldCharType="separate"/>
      </w:r>
      <w:r w:rsidRPr="007019B8">
        <w:rPr>
          <w:rFonts w:ascii="Arial" w:hAnsi="Arial" w:cs="Arial"/>
          <w:bCs/>
          <w:noProof/>
          <w:vertAlign w:val="superscript"/>
        </w:rPr>
        <w:t>2</w:t>
      </w:r>
      <w:r w:rsidRPr="007019B8">
        <w:rPr>
          <w:rFonts w:ascii="Arial" w:hAnsi="Arial" w:cs="Arial"/>
          <w:b/>
          <w:bCs/>
        </w:rPr>
        <w:fldChar w:fldCharType="end"/>
      </w:r>
    </w:p>
    <w:p w14:paraId="26B6CEFC" w14:textId="77777777" w:rsidR="00754203" w:rsidRPr="007019B8" w:rsidRDefault="00754203" w:rsidP="00754203">
      <w:pPr>
        <w:pStyle w:val="ListParagraph"/>
        <w:numPr>
          <w:ilvl w:val="0"/>
          <w:numId w:val="2"/>
        </w:numPr>
        <w:rPr>
          <w:rFonts w:ascii="Arial" w:hAnsi="Arial" w:cs="Arial"/>
        </w:rPr>
      </w:pPr>
      <w:r w:rsidRPr="007019B8">
        <w:rPr>
          <w:rFonts w:ascii="Arial" w:hAnsi="Arial" w:cs="Arial"/>
        </w:rPr>
        <w:t>Idarucizumab (</w:t>
      </w:r>
      <w:proofErr w:type="spellStart"/>
      <w:r w:rsidRPr="007019B8">
        <w:rPr>
          <w:rFonts w:ascii="Arial" w:hAnsi="Arial" w:cs="Arial"/>
        </w:rPr>
        <w:t>Praxbind</w:t>
      </w:r>
      <w:proofErr w:type="spellEnd"/>
      <w:r w:rsidRPr="007019B8">
        <w:rPr>
          <w:rFonts w:ascii="Arial" w:hAnsi="Arial" w:cs="Arial"/>
        </w:rPr>
        <w:t>) is a specific reversal agent for dabigatran (Pradaxa) and is indicated for adult patients treated with dabigatran when rapid reversal of its anticoagulant effect is required for:</w:t>
      </w:r>
    </w:p>
    <w:p w14:paraId="4E2F666C" w14:textId="77777777" w:rsidR="00754203" w:rsidRPr="007019B8" w:rsidRDefault="00754203" w:rsidP="00754203">
      <w:pPr>
        <w:pStyle w:val="ListParagraph"/>
        <w:numPr>
          <w:ilvl w:val="1"/>
          <w:numId w:val="2"/>
        </w:numPr>
        <w:rPr>
          <w:rFonts w:ascii="Arial" w:hAnsi="Arial" w:cs="Arial"/>
        </w:rPr>
      </w:pPr>
      <w:r w:rsidRPr="007019B8">
        <w:rPr>
          <w:rFonts w:ascii="Arial" w:hAnsi="Arial" w:cs="Arial"/>
        </w:rPr>
        <w:t xml:space="preserve">Life-threatening or uncontrolled bleeding </w:t>
      </w:r>
    </w:p>
    <w:p w14:paraId="0B792503" w14:textId="77777777" w:rsidR="00754203" w:rsidRPr="007019B8" w:rsidRDefault="00754203" w:rsidP="00754203">
      <w:pPr>
        <w:pStyle w:val="ListParagraph"/>
        <w:numPr>
          <w:ilvl w:val="1"/>
          <w:numId w:val="2"/>
        </w:numPr>
        <w:rPr>
          <w:rFonts w:ascii="Arial" w:hAnsi="Arial" w:cs="Arial"/>
        </w:rPr>
      </w:pPr>
      <w:r w:rsidRPr="007019B8">
        <w:rPr>
          <w:rFonts w:ascii="Arial" w:hAnsi="Arial" w:cs="Arial"/>
        </w:rPr>
        <w:t>Emergency surgery or urgent invasive procedure</w:t>
      </w:r>
    </w:p>
    <w:p w14:paraId="418DAD85" w14:textId="77777777" w:rsidR="00754203" w:rsidRPr="007019B8" w:rsidRDefault="00754203" w:rsidP="00754203">
      <w:pPr>
        <w:pStyle w:val="ListParagraph"/>
        <w:numPr>
          <w:ilvl w:val="1"/>
          <w:numId w:val="2"/>
        </w:numPr>
        <w:rPr>
          <w:rFonts w:ascii="Arial" w:hAnsi="Arial" w:cs="Arial"/>
        </w:rPr>
      </w:pPr>
      <w:r w:rsidRPr="007019B8">
        <w:rPr>
          <w:rFonts w:ascii="Arial" w:hAnsi="Arial" w:cs="Arial"/>
        </w:rPr>
        <w:t>The dose of idarucizumab is 5g (2 x 2.5g/50ml) administered intravenously as a bolus injection</w:t>
      </w:r>
    </w:p>
    <w:p w14:paraId="7346A174" w14:textId="77777777" w:rsidR="00754203" w:rsidRPr="007019B8" w:rsidRDefault="00754203" w:rsidP="00754203">
      <w:pPr>
        <w:rPr>
          <w:rFonts w:ascii="Arial" w:hAnsi="Arial" w:cs="Arial"/>
        </w:rPr>
      </w:pPr>
      <w:r w:rsidRPr="007019B8">
        <w:rPr>
          <w:rFonts w:ascii="Arial" w:hAnsi="Arial" w:cs="Arial"/>
          <w:b/>
          <w:bCs/>
        </w:rPr>
        <w:t>CHEST 2018</w:t>
      </w:r>
      <w:r w:rsidRPr="007019B8">
        <w:rPr>
          <w:rFonts w:ascii="Arial" w:hAnsi="Arial" w:cs="Arial"/>
          <w:b/>
          <w:bCs/>
        </w:rPr>
        <w:fldChar w:fldCharType="begin" w:fldLock="1"/>
      </w:r>
      <w:r>
        <w:rPr>
          <w:rFonts w:ascii="Arial" w:hAnsi="Arial" w:cs="Arial"/>
          <w:b/>
          <w:bCs/>
        </w:rPr>
        <w:instrText>ADDIN CSL_CITATION {"citationItems":[{"id":"ITEM-1","itemData":{"DOI":"10.1016/j.chest.2018.07.040","ISSN":"19313543","PMID":"30144419","abstract":"Background: The risk of stroke is heterogeneous across different groups of patients with atrial fibrillation (AF), being dependent on the presence of various stroke risk factors. We provide recommendations for antithrombotic treatment based on net clinical benefit for patients with AF at varying levels of stroke risk and in a number of common clinical scenarios. Methods: Systematic literature reviews were conducted to identify relevant articles published from the last formal search perfomed for the Antithrombotic and Thrombolytic Therapy: American College of Chest Physicians Evidence-Based Clinical Practice Guidelines (9th Edition). The overall quality of the evidence was assessed using the GRADE (Grading of Recommendations, Assessment, Development, and Evaluation) approach. Graded recommendations and ungraded consensus-based statements were drafted, voted on, and revised until consensus was reached. Results: For patients with AF without valvular heart disease, including those with paroxysmal AF, who are at low risk of stroke (eg, CHA2DS2-VASc [congestive heart failure, hypertension, age ≥ 75 (doubled), diabetes, stroke (doubled)-vascular disease, age 65-74 and sex category (female)] score of 0 in males or 1 in females), we suggest no antithrombotic therapy. The next step is to consider stroke prevention (ie, oral anticoagulation therapy) for patients with 1 or more non-sex CHA2DS2-VASc stroke risk factors. For patients with a single non-sex CHA2DS2-VASc stroke risk factor, we suggest oral anticoagulation rather than no therapy, aspirin, or combination therapy with aspirin and clopidogrel; and for those at high risk of stroke (eg, CHA2DS2-VASc ≥ 2 in males or ≥ 3 in females), we recommend oral anticoagulation rather than no therapy, aspirin, or combination therapy with aspirin and clopidogrel. Where we recommend or suggest in favor of oral anticoagulation, we suggest using a non-vitamin K antagonist oral anticoagulant drug rather than adjusted-dose vitamin K antagonist therapy. With the latter, it is important to aim for good quality anticoagulation control with a time in therapeutic range &gt; 70%. Attention to modifiable bleeding risk factors (eg, uncontrolled BP, labile international normalized ratios, concomitant use of aspirin or nonsteroidal antiinflammatory drugs in an anticoagulated patient, alcohol excess) should be made at each patient contact, and HAS-BLED (hypertension, abnormal renal/liver function [1 point each], stroke, bleeding history or p…","author":[{"dropping-particle":"","family":"Lip","given":"Gregory Y.H.","non-dropping-particle":"","parse-names":false,"suffix":""},{"dropping-particle":"","family":"Banerjee","given":"Amitava","non-dropping-particle":"","parse-names":false,"suffix":""},{"dropping-particle":"","family":"Boriani","given":"Giuseppe","non-dropping-particle":"","parse-names":false,"suffix":""},{"dropping-particle":"","family":"Chiang","given":"Chern en","non-dropping-particle":"","parse-names":false,"suffix":""},{"dropping-particle":"","family":"Fargo","given":"Ramiz","non-dropping-particle":"","parse-names":false,"suffix":""},{"dropping-particle":"","family":"Freedman","given":"Ben","non-dropping-particle":"","parse-names":false,"suffix":""},{"dropping-particle":"","family":"Lane","given":"Deirdre A.","non-dropping-particle":"","parse-names":false,"suffix":""},{"dropping-particle":"","family":"Ruff","given":"Christian T.","non-dropping-particle":"","parse-names":false,"suffix":""},{"dropping-particle":"","family":"Turakhia","given":"Mintu","non-dropping-particle":"","parse-names":false,"suffix":""},{"dropping-particle":"","family":"Werring","given":"David","non-dropping-particle":"","parse-names":false,"suffix":""},{"dropping-particle":"","family":"Patel","given":"Sheena","non-dropping-particle":"","parse-names":false,"suffix":""},{"dropping-particle":"","family":"Moores","given":"Lisa","non-dropping-particle":"","parse-names":false,"suffix":""}],"container-title":"Chest","id":"ITEM-1","issue":"5","issued":{"date-parts":[["2018"]]},"page":"1121-1201","publisher":"Elsevier Inc","title":"Antithrombotic Therapy for Atrial Fibrillation: CHEST Guideline and Expert Panel Report","type":"article-journal","volume":"154"},"uris":["http://www.mendeley.com/documents/?uuid=84a5ce07-ee7a-419c-a414-6c233b2c27b0"]}],"mendeley":{"formattedCitation":"&lt;sup&gt;&lt;sup&gt;3&lt;/sup&gt;&lt;/sup&gt;","plainTextFormattedCitation":"3","previouslyFormattedCitation":"&lt;sup&gt;&lt;sup&gt;7&lt;/sup&gt;&lt;/sup&gt;"},"properties":{"noteIndex":0},"schema":"https://github.com/citation-style-language/schema/raw/master/csl-citation.json"}</w:instrText>
      </w:r>
      <w:r w:rsidRPr="007019B8">
        <w:rPr>
          <w:rFonts w:ascii="Arial" w:hAnsi="Arial" w:cs="Arial"/>
          <w:b/>
          <w:bCs/>
        </w:rPr>
        <w:fldChar w:fldCharType="separate"/>
      </w:r>
      <w:r w:rsidRPr="002033FC">
        <w:rPr>
          <w:rFonts w:ascii="Arial" w:hAnsi="Arial" w:cs="Arial"/>
          <w:bCs/>
          <w:noProof/>
          <w:vertAlign w:val="superscript"/>
        </w:rPr>
        <w:t>3</w:t>
      </w:r>
      <w:r w:rsidRPr="007019B8">
        <w:rPr>
          <w:rFonts w:ascii="Arial" w:hAnsi="Arial" w:cs="Arial"/>
          <w:b/>
          <w:bCs/>
        </w:rPr>
        <w:fldChar w:fldCharType="end"/>
      </w:r>
      <w:r w:rsidRPr="007019B8">
        <w:rPr>
          <w:rFonts w:ascii="Arial" w:hAnsi="Arial" w:cs="Arial"/>
        </w:rPr>
        <w:br/>
        <w:t>Lip et al. Antithrombotic Therapy for Atrial Fibrillation: CHEST Guideline and Expert Panel Report</w:t>
      </w:r>
    </w:p>
    <w:p w14:paraId="77ACCCAF" w14:textId="77777777" w:rsidR="00754203" w:rsidRPr="007019B8" w:rsidRDefault="00754203" w:rsidP="00754203">
      <w:pPr>
        <w:pStyle w:val="ListParagraph"/>
        <w:numPr>
          <w:ilvl w:val="0"/>
          <w:numId w:val="2"/>
        </w:numPr>
        <w:rPr>
          <w:rFonts w:ascii="Arial" w:hAnsi="Arial" w:cs="Arial"/>
        </w:rPr>
      </w:pPr>
      <w:proofErr w:type="gramStart"/>
      <w:r w:rsidRPr="007019B8">
        <w:rPr>
          <w:rFonts w:ascii="Arial" w:hAnsi="Arial" w:cs="Arial"/>
        </w:rPr>
        <w:t>The vast majority of</w:t>
      </w:r>
      <w:proofErr w:type="gramEnd"/>
      <w:r w:rsidRPr="007019B8">
        <w:rPr>
          <w:rFonts w:ascii="Arial" w:hAnsi="Arial" w:cs="Arial"/>
        </w:rPr>
        <w:t xml:space="preserve"> bleeds can be managed conservatively with temporary discontinuation of NOACs (DOACs) and supportive measures. Reversal agents should be used sparingly in the cases of severe and life-threatening bleeding, which includes bleeding causing hemodynamic compromise, ICH, bleeding into a critical organ or closed space, persistent bleeding despite general supportive measures and local </w:t>
      </w:r>
      <w:proofErr w:type="spellStart"/>
      <w:r w:rsidRPr="007019B8">
        <w:rPr>
          <w:rFonts w:ascii="Arial" w:hAnsi="Arial" w:cs="Arial"/>
        </w:rPr>
        <w:t>hemostatic</w:t>
      </w:r>
      <w:proofErr w:type="spellEnd"/>
      <w:r w:rsidRPr="007019B8">
        <w:rPr>
          <w:rFonts w:ascii="Arial" w:hAnsi="Arial" w:cs="Arial"/>
        </w:rPr>
        <w:t xml:space="preserve"> support, or risk of recurrent bleeding due to excess NOAC drug exposure due to delayed clearance of NOAC (</w:t>
      </w:r>
      <w:proofErr w:type="spellStart"/>
      <w:r w:rsidRPr="007019B8">
        <w:rPr>
          <w:rFonts w:ascii="Arial" w:hAnsi="Arial" w:cs="Arial"/>
        </w:rPr>
        <w:t>eg</w:t>
      </w:r>
      <w:proofErr w:type="spellEnd"/>
      <w:r w:rsidRPr="007019B8">
        <w:rPr>
          <w:rFonts w:ascii="Arial" w:hAnsi="Arial" w:cs="Arial"/>
        </w:rPr>
        <w:t>, acute renal failure) or overdose.</w:t>
      </w:r>
    </w:p>
    <w:p w14:paraId="3B3544FE" w14:textId="77777777" w:rsidR="00754203" w:rsidRPr="007019B8" w:rsidRDefault="00754203" w:rsidP="00754203">
      <w:pPr>
        <w:widowControl w:val="0"/>
        <w:autoSpaceDE w:val="0"/>
        <w:autoSpaceDN w:val="0"/>
        <w:adjustRightInd w:val="0"/>
        <w:spacing w:line="240" w:lineRule="auto"/>
        <w:rPr>
          <w:rFonts w:ascii="Arial" w:hAnsi="Arial" w:cs="Arial"/>
          <w:noProof/>
          <w:szCs w:val="24"/>
        </w:rPr>
      </w:pPr>
      <w:r w:rsidRPr="007019B8">
        <w:rPr>
          <w:rFonts w:ascii="Arial" w:hAnsi="Arial" w:cs="Arial"/>
          <w:b/>
          <w:bCs/>
          <w:noProof/>
          <w:szCs w:val="24"/>
        </w:rPr>
        <w:t>SMC 2020</w:t>
      </w:r>
      <w:r w:rsidRPr="007019B8">
        <w:rPr>
          <w:rFonts w:ascii="Arial" w:hAnsi="Arial" w:cs="Arial"/>
          <w:b/>
          <w:bCs/>
          <w:noProof/>
          <w:szCs w:val="24"/>
        </w:rPr>
        <w:fldChar w:fldCharType="begin" w:fldLock="1"/>
      </w:r>
      <w:r>
        <w:rPr>
          <w:rFonts w:ascii="Arial" w:hAnsi="Arial" w:cs="Arial"/>
          <w:b/>
          <w:bCs/>
          <w:noProof/>
          <w:szCs w:val="24"/>
        </w:rPr>
        <w:instrText>ADDIN CSL_CITATION {"citationItems":[{"id":"ITEM-1","itemData":{"URL":"https://www.scottishmedicines.org.uk/medicines-advice/andexanet-alfa-ondexxya-full-smc2273/","accessed":{"date-parts":[["2020","10","13"]]},"author":[{"dropping-particle":"","family":"Scottish Medicines Consortium","given":"","non-dropping-particle":"","parse-names":false,"suffix":""}],"id":"ITEM-1","issued":{"date-parts":[["2020"]]},"title":"Andexanet alfa (Ondexxya)","type":"webpage"},"uris":["http://www.mendeley.com/documents/?uuid=904146e2-fd45-38fb-82aa-b516f40f13a2"]}],"mendeley":{"formattedCitation":"&lt;sup&gt;&lt;sup&gt;5&lt;/sup&gt;&lt;/sup&gt;","plainTextFormattedCitation":"5","previouslyFormattedCitation":"&lt;sup&gt;&lt;sup&gt;4&lt;/sup&gt;&lt;/sup&gt;"},"properties":{"noteIndex":0},"schema":"https://github.com/citation-style-language/schema/raw/master/csl-citation.json"}</w:instrText>
      </w:r>
      <w:r w:rsidRPr="007019B8">
        <w:rPr>
          <w:rFonts w:ascii="Arial" w:hAnsi="Arial" w:cs="Arial"/>
          <w:b/>
          <w:bCs/>
          <w:noProof/>
          <w:szCs w:val="24"/>
        </w:rPr>
        <w:fldChar w:fldCharType="separate"/>
      </w:r>
      <w:r w:rsidRPr="002033FC">
        <w:rPr>
          <w:rFonts w:ascii="Arial" w:hAnsi="Arial" w:cs="Arial"/>
          <w:bCs/>
          <w:noProof/>
          <w:szCs w:val="24"/>
          <w:vertAlign w:val="superscript"/>
        </w:rPr>
        <w:t>5</w:t>
      </w:r>
      <w:r w:rsidRPr="007019B8">
        <w:rPr>
          <w:rFonts w:ascii="Arial" w:hAnsi="Arial" w:cs="Arial"/>
          <w:b/>
          <w:bCs/>
          <w:noProof/>
          <w:szCs w:val="24"/>
        </w:rPr>
        <w:fldChar w:fldCharType="end"/>
      </w:r>
      <w:r w:rsidRPr="007019B8">
        <w:rPr>
          <w:rFonts w:ascii="Arial" w:hAnsi="Arial" w:cs="Arial"/>
          <w:b/>
          <w:bCs/>
          <w:noProof/>
          <w:szCs w:val="24"/>
        </w:rPr>
        <w:br/>
      </w:r>
      <w:r w:rsidRPr="007019B8">
        <w:rPr>
          <w:rFonts w:ascii="Arial" w:hAnsi="Arial" w:cs="Arial"/>
          <w:noProof/>
          <w:szCs w:val="24"/>
        </w:rPr>
        <w:t xml:space="preserve">Scottish Medicines Consortium. Andexanet alfa (Ondexxya) </w:t>
      </w:r>
    </w:p>
    <w:p w14:paraId="05A4A203" w14:textId="77777777" w:rsidR="00754203" w:rsidRPr="007019B8" w:rsidRDefault="00754203" w:rsidP="00754203">
      <w:pPr>
        <w:pStyle w:val="ListParagraph"/>
        <w:numPr>
          <w:ilvl w:val="0"/>
          <w:numId w:val="3"/>
        </w:numPr>
        <w:rPr>
          <w:rFonts w:ascii="Arial" w:hAnsi="Arial" w:cs="Arial"/>
        </w:rPr>
      </w:pPr>
      <w:r w:rsidRPr="007019B8">
        <w:rPr>
          <w:rStyle w:val="Strong"/>
          <w:rFonts w:ascii="Arial" w:hAnsi="Arial" w:cs="Arial"/>
          <w:b w:val="0"/>
          <w:bCs w:val="0"/>
          <w:shd w:val="clear" w:color="auto" w:fill="FFFFFF"/>
        </w:rPr>
        <w:t>Andexanet alfa (</w:t>
      </w:r>
      <w:proofErr w:type="spellStart"/>
      <w:r w:rsidRPr="007019B8">
        <w:rPr>
          <w:rStyle w:val="Strong"/>
          <w:rFonts w:ascii="Arial" w:hAnsi="Arial" w:cs="Arial"/>
          <w:b w:val="0"/>
          <w:bCs w:val="0"/>
          <w:shd w:val="clear" w:color="auto" w:fill="FFFFFF"/>
        </w:rPr>
        <w:t>Ondexxya</w:t>
      </w:r>
      <w:proofErr w:type="spellEnd"/>
      <w:r w:rsidRPr="007019B8">
        <w:rPr>
          <w:rStyle w:val="Strong"/>
          <w:rFonts w:ascii="Arial" w:hAnsi="Arial" w:cs="Arial"/>
          <w:b w:val="0"/>
          <w:bCs w:val="0"/>
          <w:shd w:val="clear" w:color="auto" w:fill="FFFFFF"/>
        </w:rPr>
        <w:t>®)</w:t>
      </w:r>
      <w:r w:rsidRPr="007019B8">
        <w:rPr>
          <w:rFonts w:ascii="Arial" w:hAnsi="Arial" w:cs="Arial"/>
          <w:shd w:val="clear" w:color="auto" w:fill="FFFFFF"/>
        </w:rPr>
        <w:t> is accepted for use within NHS Scotland on an interim basis subject to ongoing evaluation and future reassessment.</w:t>
      </w:r>
    </w:p>
    <w:p w14:paraId="17E8097C" w14:textId="77777777" w:rsidR="00754203" w:rsidRPr="007019B8" w:rsidRDefault="00754203" w:rsidP="00754203">
      <w:pPr>
        <w:pStyle w:val="ListParagraph"/>
        <w:numPr>
          <w:ilvl w:val="1"/>
          <w:numId w:val="3"/>
        </w:numPr>
        <w:rPr>
          <w:rFonts w:ascii="Arial" w:hAnsi="Arial" w:cs="Arial"/>
          <w:shd w:val="clear" w:color="auto" w:fill="FFFFFF"/>
        </w:rPr>
      </w:pPr>
      <w:r w:rsidRPr="007019B8">
        <w:rPr>
          <w:rFonts w:ascii="Arial" w:hAnsi="Arial" w:cs="Arial"/>
          <w:shd w:val="clear" w:color="auto" w:fill="FFFFFF"/>
        </w:rPr>
        <w:t xml:space="preserve">For adult patients treated with a direct factor </w:t>
      </w:r>
      <w:proofErr w:type="spellStart"/>
      <w:r w:rsidRPr="007019B8">
        <w:rPr>
          <w:rFonts w:ascii="Arial" w:hAnsi="Arial" w:cs="Arial"/>
          <w:shd w:val="clear" w:color="auto" w:fill="FFFFFF"/>
        </w:rPr>
        <w:t>Xa</w:t>
      </w:r>
      <w:proofErr w:type="spellEnd"/>
      <w:r w:rsidRPr="007019B8">
        <w:rPr>
          <w:rFonts w:ascii="Arial" w:hAnsi="Arial" w:cs="Arial"/>
          <w:shd w:val="clear" w:color="auto" w:fill="FFFFFF"/>
        </w:rPr>
        <w:t xml:space="preserve"> (</w:t>
      </w:r>
      <w:proofErr w:type="spellStart"/>
      <w:r w:rsidRPr="007019B8">
        <w:rPr>
          <w:rFonts w:ascii="Arial" w:hAnsi="Arial" w:cs="Arial"/>
          <w:shd w:val="clear" w:color="auto" w:fill="FFFFFF"/>
        </w:rPr>
        <w:t>FXa</w:t>
      </w:r>
      <w:proofErr w:type="spellEnd"/>
      <w:r w:rsidRPr="007019B8">
        <w:rPr>
          <w:rFonts w:ascii="Arial" w:hAnsi="Arial" w:cs="Arial"/>
          <w:shd w:val="clear" w:color="auto" w:fill="FFFFFF"/>
        </w:rPr>
        <w:t>) inhibitor (apixaban or rivaroxaban) when reversal of anticoagulation is needed due to life-threatening or uncontrolled bleeding.</w:t>
      </w:r>
    </w:p>
    <w:p w14:paraId="3BC09CF5" w14:textId="77777777" w:rsidR="00754203" w:rsidRPr="007019B8" w:rsidRDefault="00754203" w:rsidP="00754203">
      <w:pPr>
        <w:rPr>
          <w:rFonts w:ascii="Arial" w:hAnsi="Arial" w:cs="Arial"/>
        </w:rPr>
      </w:pPr>
      <w:r w:rsidRPr="007019B8">
        <w:rPr>
          <w:rFonts w:ascii="Arial" w:hAnsi="Arial" w:cs="Arial"/>
          <w:b/>
          <w:bCs/>
        </w:rPr>
        <w:t>NICE 2021</w:t>
      </w:r>
      <w:r w:rsidRPr="007019B8">
        <w:rPr>
          <w:rFonts w:ascii="Arial" w:hAnsi="Arial" w:cs="Arial"/>
          <w:b/>
          <w:bCs/>
        </w:rPr>
        <w:fldChar w:fldCharType="begin" w:fldLock="1"/>
      </w:r>
      <w:r>
        <w:rPr>
          <w:rFonts w:ascii="Arial" w:hAnsi="Arial" w:cs="Arial"/>
          <w:b/>
          <w:bCs/>
        </w:rPr>
        <w:instrText>ADDIN CSL_CITATION {"citationItems":[{"id":"ITEM-1","itemData":{"author":[{"dropping-particle":"","family":"National Institute for Health and Care Excellence","given":"","non-dropping-particle":"","parse-names":false,"suffix":""}],"id":"ITEM-1","issued":{"date-parts":[["2021"]]},"title":"Technology Appraisal Guidance. Andexanet alfa for reversing anticoagulation from apixaban or rivaroxaban","type":"report"},"uris":["http://www.mendeley.com/documents/?uuid=edd19a13-f19e-4dac-8073-0c5de21b7451","http://www.mendeley.com/documents/?uuid=6edcef6b-41f9-4011-99ac-dc6e6c2d5347"]}],"mendeley":{"formattedCitation":"&lt;sup&gt;&lt;sup&gt;9&lt;/sup&gt;&lt;/sup&gt;","plainTextFormattedCitation":"9","previouslyFormattedCitation":"&lt;sup&gt;&lt;sup&gt;9&lt;/sup&gt;&lt;/sup&gt;"},"properties":{"noteIndex":0},"schema":"https://github.com/citation-style-language/schema/raw/master/csl-citation.json"}</w:instrText>
      </w:r>
      <w:r w:rsidRPr="007019B8">
        <w:rPr>
          <w:rFonts w:ascii="Arial" w:hAnsi="Arial" w:cs="Arial"/>
          <w:b/>
          <w:bCs/>
        </w:rPr>
        <w:fldChar w:fldCharType="separate"/>
      </w:r>
      <w:r w:rsidRPr="007019B8">
        <w:rPr>
          <w:rFonts w:ascii="Arial" w:hAnsi="Arial" w:cs="Arial"/>
          <w:bCs/>
          <w:noProof/>
          <w:vertAlign w:val="superscript"/>
        </w:rPr>
        <w:t>9</w:t>
      </w:r>
      <w:r w:rsidRPr="007019B8">
        <w:rPr>
          <w:rFonts w:ascii="Arial" w:hAnsi="Arial" w:cs="Arial"/>
          <w:b/>
          <w:bCs/>
        </w:rPr>
        <w:fldChar w:fldCharType="end"/>
      </w:r>
      <w:r w:rsidRPr="007019B8">
        <w:rPr>
          <w:rFonts w:ascii="Arial" w:hAnsi="Arial" w:cs="Arial"/>
          <w:b/>
          <w:bCs/>
        </w:rPr>
        <w:br/>
      </w:r>
      <w:r w:rsidRPr="007019B8">
        <w:rPr>
          <w:rFonts w:ascii="Arial" w:hAnsi="Arial" w:cs="Arial"/>
        </w:rPr>
        <w:t>Technology Appraisal Guidance. Andexanet alfa for reversing anticoagulation from apixaban or rivaroxaban</w:t>
      </w:r>
    </w:p>
    <w:p w14:paraId="675244B5" w14:textId="77777777" w:rsidR="00754203" w:rsidRPr="007019B8" w:rsidRDefault="00754203" w:rsidP="00754203">
      <w:pPr>
        <w:pStyle w:val="ListParagraph"/>
        <w:numPr>
          <w:ilvl w:val="0"/>
          <w:numId w:val="2"/>
        </w:numPr>
        <w:rPr>
          <w:rFonts w:ascii="Arial" w:hAnsi="Arial" w:cs="Arial"/>
          <w:b/>
          <w:bCs/>
        </w:rPr>
      </w:pPr>
      <w:r w:rsidRPr="007019B8">
        <w:rPr>
          <w:rFonts w:ascii="Arial" w:hAnsi="Arial" w:cs="Arial"/>
        </w:rPr>
        <w:t>Andexanet alfa is recommended as an option for reversing anticoagulation from apixaban or rivaroxaban in adults with life-threatening or uncontrolled bleeding, only if the bleed is in the gastrointestinal tract</w:t>
      </w:r>
    </w:p>
    <w:p w14:paraId="5A22CE8F" w14:textId="77777777" w:rsidR="00754203" w:rsidRPr="007019B8" w:rsidRDefault="00754203" w:rsidP="00754203">
      <w:pPr>
        <w:pStyle w:val="ListParagraph"/>
        <w:numPr>
          <w:ilvl w:val="0"/>
          <w:numId w:val="2"/>
        </w:numPr>
        <w:rPr>
          <w:rFonts w:ascii="Arial" w:hAnsi="Arial" w:cs="Arial"/>
        </w:rPr>
      </w:pPr>
      <w:r w:rsidRPr="007019B8">
        <w:rPr>
          <w:rFonts w:ascii="Arial" w:hAnsi="Arial" w:cs="Arial"/>
        </w:rPr>
        <w:lastRenderedPageBreak/>
        <w:t>Andexanet alfa is recommended only in research for reversing anticoagulation from apixaban or rivaroxaban in adults with life-threatening or uncontrolled bleeding in the skull (intracranial haemorrhage; ICH), in the form of an ongoing randomised trial mandated by the regulator.</w:t>
      </w:r>
      <w:r w:rsidRPr="007019B8">
        <w:rPr>
          <w:rFonts w:ascii="Arial" w:hAnsi="Arial" w:cs="Arial"/>
        </w:rPr>
        <w:br w:type="page"/>
      </w:r>
    </w:p>
    <w:p w14:paraId="045B38FE" w14:textId="77777777" w:rsidR="00754203" w:rsidRPr="007019B8" w:rsidRDefault="00754203" w:rsidP="00754203">
      <w:pPr>
        <w:pStyle w:val="Heading1"/>
        <w:rPr>
          <w:rFonts w:ascii="Arial" w:hAnsi="Arial" w:cs="Arial"/>
          <w:b/>
          <w:bCs/>
          <w:color w:val="auto"/>
        </w:rPr>
      </w:pPr>
      <w:bookmarkStart w:id="8" w:name="_Toc97120373"/>
      <w:r w:rsidRPr="007019B8">
        <w:rPr>
          <w:rFonts w:ascii="Arial" w:hAnsi="Arial" w:cs="Arial"/>
          <w:b/>
          <w:bCs/>
          <w:color w:val="auto"/>
        </w:rPr>
        <w:lastRenderedPageBreak/>
        <w:t>Frequently asked questions</w:t>
      </w:r>
      <w:bookmarkEnd w:id="8"/>
    </w:p>
    <w:p w14:paraId="3AA6111C" w14:textId="77777777" w:rsidR="00754203" w:rsidRPr="007019B8" w:rsidRDefault="00754203" w:rsidP="00754203">
      <w:pPr>
        <w:rPr>
          <w:rFonts w:ascii="Arial" w:hAnsi="Arial" w:cs="Arial"/>
          <w:b/>
          <w:bCs/>
        </w:rPr>
      </w:pPr>
    </w:p>
    <w:p w14:paraId="0FEB38CA" w14:textId="77777777" w:rsidR="00754203" w:rsidRDefault="00754203" w:rsidP="00754203">
      <w:pPr>
        <w:rPr>
          <w:rFonts w:ascii="Arial" w:hAnsi="Arial" w:cs="Arial"/>
          <w:b/>
          <w:bCs/>
        </w:rPr>
      </w:pPr>
      <w:r>
        <w:rPr>
          <w:rFonts w:ascii="Arial" w:hAnsi="Arial" w:cs="Arial"/>
          <w:b/>
          <w:bCs/>
        </w:rPr>
        <w:t>How many people can be involved in the project at one centre?</w:t>
      </w:r>
    </w:p>
    <w:p w14:paraId="4DEE5A26" w14:textId="54D7CAE8" w:rsidR="00754203" w:rsidRPr="00C2238B" w:rsidRDefault="00572133" w:rsidP="00754203">
      <w:pPr>
        <w:rPr>
          <w:rFonts w:ascii="Arial" w:hAnsi="Arial" w:cs="Arial"/>
        </w:rPr>
      </w:pPr>
      <w:r>
        <w:rPr>
          <w:rFonts w:ascii="Arial" w:hAnsi="Arial" w:cs="Arial"/>
        </w:rPr>
        <w:t>At each centre, you can have a team of up to 10 people</w:t>
      </w:r>
      <w:r w:rsidR="00754203">
        <w:rPr>
          <w:rFonts w:ascii="Arial" w:hAnsi="Arial" w:cs="Arial"/>
        </w:rPr>
        <w:t>.</w:t>
      </w:r>
      <w:r>
        <w:rPr>
          <w:rFonts w:ascii="Arial" w:hAnsi="Arial" w:cs="Arial"/>
        </w:rPr>
        <w:t xml:space="preserve"> Occasionally</w:t>
      </w:r>
      <w:r w:rsidR="00514AC3">
        <w:rPr>
          <w:rFonts w:ascii="Arial" w:hAnsi="Arial" w:cs="Arial"/>
        </w:rPr>
        <w:t xml:space="preserve">, large </w:t>
      </w:r>
      <w:r>
        <w:rPr>
          <w:rFonts w:ascii="Arial" w:hAnsi="Arial" w:cs="Arial"/>
        </w:rPr>
        <w:t>centres</w:t>
      </w:r>
      <w:r w:rsidR="00514AC3">
        <w:rPr>
          <w:rFonts w:ascii="Arial" w:hAnsi="Arial" w:cs="Arial"/>
        </w:rPr>
        <w:t>, or centres where there is rapid staff turnover</w:t>
      </w:r>
      <w:r>
        <w:rPr>
          <w:rFonts w:ascii="Arial" w:hAnsi="Arial" w:cs="Arial"/>
        </w:rPr>
        <w:t xml:space="preserve"> may need more </w:t>
      </w:r>
      <w:proofErr w:type="gramStart"/>
      <w:r>
        <w:rPr>
          <w:rFonts w:ascii="Arial" w:hAnsi="Arial" w:cs="Arial"/>
        </w:rPr>
        <w:t>and in this situation,</w:t>
      </w:r>
      <w:proofErr w:type="gramEnd"/>
      <w:r>
        <w:rPr>
          <w:rFonts w:ascii="Arial" w:hAnsi="Arial" w:cs="Arial"/>
        </w:rPr>
        <w:t xml:space="preserve"> please </w:t>
      </w:r>
      <w:r w:rsidR="00514AC3">
        <w:rPr>
          <w:rFonts w:ascii="Arial" w:hAnsi="Arial" w:cs="Arial"/>
        </w:rPr>
        <w:t xml:space="preserve">email </w:t>
      </w:r>
      <w:r>
        <w:rPr>
          <w:rFonts w:ascii="Arial" w:hAnsi="Arial" w:cs="Arial"/>
        </w:rPr>
        <w:t xml:space="preserve">the </w:t>
      </w:r>
      <w:proofErr w:type="spellStart"/>
      <w:r>
        <w:rPr>
          <w:rFonts w:ascii="Arial" w:hAnsi="Arial" w:cs="Arial"/>
        </w:rPr>
        <w:t>BiCOPS</w:t>
      </w:r>
      <w:proofErr w:type="spellEnd"/>
      <w:r>
        <w:rPr>
          <w:rFonts w:ascii="Arial" w:hAnsi="Arial" w:cs="Arial"/>
        </w:rPr>
        <w:t xml:space="preserve"> team.</w:t>
      </w:r>
      <w:r w:rsidR="00754203">
        <w:rPr>
          <w:rFonts w:ascii="Arial" w:hAnsi="Arial" w:cs="Arial"/>
        </w:rPr>
        <w:t xml:space="preserve"> In fact, we strongly encourage </w:t>
      </w:r>
      <w:r>
        <w:rPr>
          <w:rFonts w:ascii="Arial" w:hAnsi="Arial" w:cs="Arial"/>
        </w:rPr>
        <w:t xml:space="preserve">wide and inclusive </w:t>
      </w:r>
      <w:r w:rsidR="00754203">
        <w:rPr>
          <w:rFonts w:ascii="Arial" w:hAnsi="Arial" w:cs="Arial"/>
        </w:rPr>
        <w:t>participation.</w:t>
      </w:r>
      <w:r w:rsidR="006B779B">
        <w:rPr>
          <w:rFonts w:ascii="Arial" w:hAnsi="Arial" w:cs="Arial"/>
        </w:rPr>
        <w:t xml:space="preserve"> </w:t>
      </w:r>
      <w:r w:rsidR="00754203">
        <w:rPr>
          <w:rFonts w:ascii="Arial" w:hAnsi="Arial" w:cs="Arial"/>
        </w:rPr>
        <w:t xml:space="preserve"> All we ask is that one person is nominated as the centre’s point of contact. </w:t>
      </w:r>
      <w:r>
        <w:rPr>
          <w:rFonts w:ascii="Arial" w:hAnsi="Arial" w:cs="Arial"/>
        </w:rPr>
        <w:t xml:space="preserve">Every individual who contributes one full record </w:t>
      </w:r>
      <w:r w:rsidR="00754203">
        <w:rPr>
          <w:rFonts w:ascii="Arial" w:hAnsi="Arial" w:cs="Arial"/>
        </w:rPr>
        <w:t>will be recognised with citable collaborator status (equivalent to authorship) in future presentation(s) and publication(s).</w:t>
      </w:r>
    </w:p>
    <w:p w14:paraId="4C05498F" w14:textId="77777777" w:rsidR="00754203" w:rsidRPr="007019B8" w:rsidRDefault="00754203" w:rsidP="00754203">
      <w:pPr>
        <w:rPr>
          <w:rFonts w:ascii="Arial" w:hAnsi="Arial" w:cs="Arial"/>
          <w:b/>
          <w:bCs/>
        </w:rPr>
      </w:pPr>
      <w:r w:rsidRPr="007019B8">
        <w:rPr>
          <w:rFonts w:ascii="Arial" w:hAnsi="Arial" w:cs="Arial"/>
          <w:b/>
          <w:bCs/>
        </w:rPr>
        <w:t>Will patient data be anonymised?</w:t>
      </w:r>
    </w:p>
    <w:p w14:paraId="01E3C00E" w14:textId="6F821E53" w:rsidR="00754203" w:rsidRPr="007019B8" w:rsidRDefault="00754203" w:rsidP="00754203">
      <w:pPr>
        <w:rPr>
          <w:rFonts w:ascii="Arial" w:hAnsi="Arial" w:cs="Arial"/>
        </w:rPr>
      </w:pPr>
      <w:r w:rsidRPr="007019B8">
        <w:rPr>
          <w:rFonts w:ascii="Arial" w:hAnsi="Arial" w:cs="Arial"/>
        </w:rPr>
        <w:t xml:space="preserve">Yes, the data will be fully anonymised although we will collect basic demographics including age, sex, and ethnicity. We will not collect patient identifiers such as names, NHS numbers, local ID numbers, or dates of birth centrally. The data collection tool will assign a </w:t>
      </w:r>
      <w:r w:rsidR="00546126">
        <w:rPr>
          <w:rFonts w:ascii="Arial" w:hAnsi="Arial" w:cs="Arial"/>
        </w:rPr>
        <w:t>unique project</w:t>
      </w:r>
      <w:r w:rsidR="00546126" w:rsidRPr="007019B8">
        <w:rPr>
          <w:rFonts w:ascii="Arial" w:hAnsi="Arial" w:cs="Arial"/>
        </w:rPr>
        <w:t xml:space="preserve"> </w:t>
      </w:r>
      <w:r w:rsidRPr="007019B8">
        <w:rPr>
          <w:rFonts w:ascii="Arial" w:hAnsi="Arial" w:cs="Arial"/>
        </w:rPr>
        <w:t>number</w:t>
      </w:r>
      <w:r w:rsidR="00546126">
        <w:rPr>
          <w:rFonts w:ascii="Arial" w:hAnsi="Arial" w:cs="Arial"/>
        </w:rPr>
        <w:t xml:space="preserve"> (</w:t>
      </w:r>
      <w:proofErr w:type="spellStart"/>
      <w:r w:rsidR="00546126">
        <w:rPr>
          <w:rFonts w:ascii="Arial" w:hAnsi="Arial" w:cs="Arial"/>
        </w:rPr>
        <w:t>REDCap</w:t>
      </w:r>
      <w:proofErr w:type="spellEnd"/>
      <w:r w:rsidR="00546126">
        <w:rPr>
          <w:rFonts w:ascii="Arial" w:hAnsi="Arial" w:cs="Arial"/>
        </w:rPr>
        <w:t xml:space="preserve"> record ID)</w:t>
      </w:r>
      <w:r w:rsidRPr="007019B8">
        <w:rPr>
          <w:rFonts w:ascii="Arial" w:hAnsi="Arial" w:cs="Arial"/>
        </w:rPr>
        <w:t xml:space="preserve"> to each patient that you enter. However, in order to answer any future data queries, a local list that links </w:t>
      </w:r>
      <w:r w:rsidR="00546126">
        <w:rPr>
          <w:rFonts w:ascii="Arial" w:hAnsi="Arial" w:cs="Arial"/>
        </w:rPr>
        <w:t>record IDs</w:t>
      </w:r>
      <w:r w:rsidRPr="007019B8">
        <w:rPr>
          <w:rFonts w:ascii="Arial" w:hAnsi="Arial" w:cs="Arial"/>
        </w:rPr>
        <w:t xml:space="preserve"> with local identifiers should be kept on a secure, password-protected NHS computer. </w:t>
      </w:r>
    </w:p>
    <w:p w14:paraId="194B890B" w14:textId="38985AC5" w:rsidR="00754203" w:rsidRPr="007019B8" w:rsidRDefault="00754203" w:rsidP="00754203">
      <w:pPr>
        <w:rPr>
          <w:rFonts w:ascii="Arial" w:hAnsi="Arial" w:cs="Arial"/>
          <w:b/>
          <w:bCs/>
        </w:rPr>
      </w:pPr>
      <w:r w:rsidRPr="007019B8">
        <w:rPr>
          <w:rFonts w:ascii="Arial" w:hAnsi="Arial" w:cs="Arial"/>
          <w:b/>
          <w:bCs/>
        </w:rPr>
        <w:t xml:space="preserve">Will the data that I enter be </w:t>
      </w:r>
      <w:r w:rsidR="0047421F">
        <w:rPr>
          <w:rFonts w:ascii="Arial" w:hAnsi="Arial" w:cs="Arial"/>
          <w:b/>
          <w:bCs/>
        </w:rPr>
        <w:t>credited</w:t>
      </w:r>
      <w:r w:rsidRPr="007019B8">
        <w:rPr>
          <w:rFonts w:ascii="Arial" w:hAnsi="Arial" w:cs="Arial"/>
          <w:b/>
          <w:bCs/>
        </w:rPr>
        <w:t xml:space="preserve"> to my site?</w:t>
      </w:r>
    </w:p>
    <w:p w14:paraId="01D52812" w14:textId="47DF0DCF" w:rsidR="00754203" w:rsidRPr="007019B8" w:rsidRDefault="00754203" w:rsidP="00754203">
      <w:pPr>
        <w:rPr>
          <w:rFonts w:ascii="Arial" w:hAnsi="Arial" w:cs="Arial"/>
        </w:rPr>
      </w:pPr>
      <w:r w:rsidRPr="007019B8">
        <w:rPr>
          <w:rFonts w:ascii="Arial" w:hAnsi="Arial" w:cs="Arial"/>
        </w:rPr>
        <w:t xml:space="preserve">Yes. </w:t>
      </w:r>
      <w:r w:rsidR="0047421F">
        <w:rPr>
          <w:rFonts w:ascii="Arial" w:hAnsi="Arial" w:cs="Arial"/>
        </w:rPr>
        <w:t>The data you enter will be linked to your institution</w:t>
      </w:r>
      <w:r w:rsidRPr="007019B8">
        <w:rPr>
          <w:rFonts w:ascii="Arial" w:hAnsi="Arial" w:cs="Arial"/>
        </w:rPr>
        <w:t>. Most importantly, we will use this data to provide, on request, each centre with a summary of their own data.</w:t>
      </w:r>
    </w:p>
    <w:p w14:paraId="696EE013" w14:textId="77777777" w:rsidR="00754203" w:rsidRPr="007019B8" w:rsidRDefault="00754203" w:rsidP="00754203">
      <w:pPr>
        <w:rPr>
          <w:rFonts w:ascii="Arial" w:hAnsi="Arial" w:cs="Arial"/>
        </w:rPr>
      </w:pPr>
      <w:r w:rsidRPr="007019B8">
        <w:rPr>
          <w:rFonts w:ascii="Arial" w:hAnsi="Arial" w:cs="Arial"/>
        </w:rPr>
        <w:t xml:space="preserve">We may also use this data to compare sites in general terms as defined by criteria such as their location within the UK </w:t>
      </w:r>
      <w:proofErr w:type="gramStart"/>
      <w:r w:rsidRPr="007019B8">
        <w:rPr>
          <w:rFonts w:ascii="Arial" w:hAnsi="Arial" w:cs="Arial"/>
        </w:rPr>
        <w:t>e.g.</w:t>
      </w:r>
      <w:proofErr w:type="gramEnd"/>
      <w:r w:rsidRPr="007019B8">
        <w:rPr>
          <w:rFonts w:ascii="Arial" w:hAnsi="Arial" w:cs="Arial"/>
        </w:rPr>
        <w:t xml:space="preserve"> Scotland </w:t>
      </w:r>
      <w:r w:rsidRPr="007019B8">
        <w:rPr>
          <w:rFonts w:ascii="Arial" w:hAnsi="Arial" w:cs="Arial"/>
          <w:i/>
          <w:iCs/>
        </w:rPr>
        <w:t>versus</w:t>
      </w:r>
      <w:r w:rsidRPr="007019B8">
        <w:rPr>
          <w:rFonts w:ascii="Arial" w:hAnsi="Arial" w:cs="Arial"/>
        </w:rPr>
        <w:t xml:space="preserve"> England or academic </w:t>
      </w:r>
      <w:r w:rsidRPr="007019B8">
        <w:rPr>
          <w:rFonts w:ascii="Arial" w:hAnsi="Arial" w:cs="Arial"/>
          <w:i/>
          <w:iCs/>
        </w:rPr>
        <w:t xml:space="preserve">versus </w:t>
      </w:r>
      <w:r w:rsidRPr="007019B8">
        <w:rPr>
          <w:rFonts w:ascii="Arial" w:hAnsi="Arial" w:cs="Arial"/>
        </w:rPr>
        <w:t xml:space="preserve">non-academic centres. The data will however remain confidential, and names of individual sites connected to specific data will not be reported in any future presentations or publications. </w:t>
      </w:r>
    </w:p>
    <w:p w14:paraId="5D97392E" w14:textId="77777777" w:rsidR="00754203" w:rsidRPr="007019B8" w:rsidRDefault="00754203" w:rsidP="00754203">
      <w:pPr>
        <w:rPr>
          <w:rFonts w:ascii="Arial" w:hAnsi="Arial" w:cs="Arial"/>
          <w:b/>
          <w:bCs/>
        </w:rPr>
      </w:pPr>
      <w:r w:rsidRPr="007019B8">
        <w:rPr>
          <w:rFonts w:ascii="Arial" w:hAnsi="Arial" w:cs="Arial"/>
          <w:b/>
          <w:bCs/>
        </w:rPr>
        <w:t xml:space="preserve">How is data collected, where will it be stored, and how will it leave my NHS organisation? </w:t>
      </w:r>
    </w:p>
    <w:p w14:paraId="0D79895C" w14:textId="77777777" w:rsidR="00754203" w:rsidRPr="007019B8" w:rsidRDefault="00754203" w:rsidP="00754203">
      <w:pPr>
        <w:rPr>
          <w:rFonts w:ascii="Arial" w:hAnsi="Arial" w:cs="Arial"/>
        </w:rPr>
      </w:pPr>
      <w:r w:rsidRPr="007019B8">
        <w:rPr>
          <w:rFonts w:ascii="Arial" w:hAnsi="Arial" w:cs="Arial"/>
        </w:rPr>
        <w:t xml:space="preserve">Anonymised data will be entered directly onto </w:t>
      </w:r>
      <w:proofErr w:type="spellStart"/>
      <w:r w:rsidRPr="007019B8">
        <w:rPr>
          <w:rFonts w:ascii="Arial" w:hAnsi="Arial" w:cs="Arial"/>
        </w:rPr>
        <w:t>REDCap</w:t>
      </w:r>
      <w:proofErr w:type="spellEnd"/>
      <w:r w:rsidRPr="007019B8">
        <w:rPr>
          <w:rFonts w:ascii="Arial" w:hAnsi="Arial" w:cs="Arial"/>
        </w:rPr>
        <w:t xml:space="preserve"> which is a secure web application for building and managing online databases. Clinical teams at participating sites will ensure that participants’ anonymity is maintained when entering data into the </w:t>
      </w:r>
      <w:proofErr w:type="spellStart"/>
      <w:r w:rsidRPr="007019B8">
        <w:rPr>
          <w:rFonts w:ascii="Arial" w:hAnsi="Arial" w:cs="Arial"/>
        </w:rPr>
        <w:t>REDCap</w:t>
      </w:r>
      <w:proofErr w:type="spellEnd"/>
      <w:r w:rsidRPr="007019B8">
        <w:rPr>
          <w:rFonts w:ascii="Arial" w:hAnsi="Arial" w:cs="Arial"/>
        </w:rPr>
        <w:t xml:space="preserve"> system. </w:t>
      </w:r>
      <w:proofErr w:type="spellStart"/>
      <w:r w:rsidRPr="007019B8">
        <w:rPr>
          <w:rFonts w:ascii="Arial" w:hAnsi="Arial" w:cs="Arial"/>
        </w:rPr>
        <w:t>REDCap</w:t>
      </w:r>
      <w:proofErr w:type="spellEnd"/>
      <w:r w:rsidRPr="007019B8">
        <w:rPr>
          <w:rFonts w:ascii="Arial" w:hAnsi="Arial" w:cs="Arial"/>
        </w:rPr>
        <w:t xml:space="preserve"> has been used extensively to electronically capture and store sensitive health data in a secure and encrypted format for similar projects within the NHS. The University of Birmingham is already a partner with </w:t>
      </w:r>
      <w:proofErr w:type="spellStart"/>
      <w:r w:rsidRPr="007019B8">
        <w:rPr>
          <w:rFonts w:ascii="Arial" w:hAnsi="Arial" w:cs="Arial"/>
        </w:rPr>
        <w:t>REDCap</w:t>
      </w:r>
      <w:proofErr w:type="spellEnd"/>
      <w:r w:rsidRPr="007019B8">
        <w:rPr>
          <w:rFonts w:ascii="Arial" w:hAnsi="Arial" w:cs="Arial"/>
        </w:rPr>
        <w:t xml:space="preserve"> and HaemSTAR has used the system twice before for national audit projects. Data will be collected and stored in accordance with the General Data Protection Regulation (2016). Direct access to the audit data will be restricted to members of the management committee and audit team at the Birmingham Centre for Observational and Prospective Studies. Access to the database will be overseen by the data manager. </w:t>
      </w:r>
    </w:p>
    <w:p w14:paraId="0A973444" w14:textId="77777777" w:rsidR="00754203" w:rsidRPr="007019B8" w:rsidRDefault="00754203" w:rsidP="00754203">
      <w:pPr>
        <w:rPr>
          <w:rFonts w:ascii="Arial" w:hAnsi="Arial" w:cs="Arial"/>
          <w:b/>
          <w:bCs/>
        </w:rPr>
      </w:pPr>
      <w:r w:rsidRPr="007019B8">
        <w:rPr>
          <w:rFonts w:ascii="Arial" w:hAnsi="Arial" w:cs="Arial"/>
          <w:b/>
          <w:bCs/>
        </w:rPr>
        <w:t>Is ethical approval required and do patients need to give consent?</w:t>
      </w:r>
    </w:p>
    <w:p w14:paraId="65BCBDC3" w14:textId="77777777" w:rsidR="00754203" w:rsidRPr="007019B8" w:rsidRDefault="00754203" w:rsidP="00754203">
      <w:pPr>
        <w:rPr>
          <w:rFonts w:ascii="Arial" w:hAnsi="Arial" w:cs="Arial"/>
        </w:rPr>
      </w:pPr>
      <w:r w:rsidRPr="007019B8">
        <w:rPr>
          <w:rFonts w:ascii="Arial" w:hAnsi="Arial" w:cs="Arial"/>
        </w:rPr>
        <w:t xml:space="preserve">This project is an audit and as such, ethical approval is not required. Data will not be used to make recommendations about future patient treatment. Data collection is retrospective and will not interfere directly with patient care. Similarly, patient consent is not required. This has been confirmed with the Birmingham Centre for Observational and Prospective Studies and confirmed using the NIHR online tool “Is my project research?”. </w:t>
      </w:r>
    </w:p>
    <w:p w14:paraId="41C7FD2B" w14:textId="77777777" w:rsidR="006346F8" w:rsidRDefault="006346F8" w:rsidP="00754203">
      <w:pPr>
        <w:rPr>
          <w:rFonts w:ascii="Arial" w:hAnsi="Arial" w:cs="Arial"/>
          <w:b/>
          <w:bCs/>
        </w:rPr>
      </w:pPr>
    </w:p>
    <w:p w14:paraId="14C8D05D" w14:textId="6B65F72A" w:rsidR="00754203" w:rsidRPr="007019B8" w:rsidRDefault="00754203" w:rsidP="00754203">
      <w:pPr>
        <w:rPr>
          <w:rFonts w:ascii="Arial" w:hAnsi="Arial" w:cs="Arial"/>
          <w:b/>
          <w:bCs/>
        </w:rPr>
      </w:pPr>
      <w:r w:rsidRPr="007019B8">
        <w:rPr>
          <w:rFonts w:ascii="Arial" w:hAnsi="Arial" w:cs="Arial"/>
          <w:b/>
          <w:bCs/>
        </w:rPr>
        <w:lastRenderedPageBreak/>
        <w:t>How will the findings be disseminated?</w:t>
      </w:r>
    </w:p>
    <w:p w14:paraId="76EE3030" w14:textId="77777777" w:rsidR="00754203" w:rsidRPr="007019B8" w:rsidRDefault="00754203" w:rsidP="00754203">
      <w:pPr>
        <w:rPr>
          <w:rFonts w:ascii="Arial" w:hAnsi="Arial" w:cs="Arial"/>
        </w:rPr>
      </w:pPr>
      <w:r w:rsidRPr="007019B8">
        <w:rPr>
          <w:rFonts w:ascii="Arial" w:hAnsi="Arial" w:cs="Arial"/>
        </w:rPr>
        <w:t xml:space="preserve">We plan to present interim data nationally and internationally at the British Society of Haematology Annual Scientific Meetings and American Society of Haematology Annual Meetings. Following completion of the project, findings will be submitted to a reputable peer-reviewed scientific journal for publication. </w:t>
      </w:r>
    </w:p>
    <w:p w14:paraId="2ABB8851" w14:textId="77777777" w:rsidR="00754203" w:rsidRPr="007019B8" w:rsidRDefault="00754203" w:rsidP="00754203">
      <w:pPr>
        <w:rPr>
          <w:rFonts w:ascii="Arial" w:hAnsi="Arial" w:cs="Arial"/>
          <w:b/>
          <w:bCs/>
        </w:rPr>
      </w:pPr>
      <w:r w:rsidRPr="007019B8">
        <w:rPr>
          <w:rFonts w:ascii="Arial" w:hAnsi="Arial" w:cs="Arial"/>
          <w:b/>
          <w:bCs/>
        </w:rPr>
        <w:t>How will contributors and my organisation be recognised?</w:t>
      </w:r>
    </w:p>
    <w:p w14:paraId="77694E09" w14:textId="77777777" w:rsidR="00754203" w:rsidRPr="007019B8" w:rsidRDefault="00754203" w:rsidP="00754203">
      <w:pPr>
        <w:rPr>
          <w:rFonts w:ascii="Arial" w:hAnsi="Arial" w:cs="Arial"/>
        </w:rPr>
      </w:pPr>
      <w:r w:rsidRPr="007019B8">
        <w:rPr>
          <w:rFonts w:ascii="Arial" w:hAnsi="Arial" w:cs="Arial"/>
        </w:rPr>
        <w:t xml:space="preserve">Fair recognition is a core HaemSTAR value and HaemSTAR has adopted a collaborative authorship model. This means that all contributors to this project will be recognised by name as citable collaborators (equivalent to co-authors) in future publications. </w:t>
      </w:r>
    </w:p>
    <w:p w14:paraId="1DE39B78" w14:textId="77777777" w:rsidR="00754203" w:rsidRPr="007019B8" w:rsidRDefault="00754203" w:rsidP="00754203">
      <w:pPr>
        <w:rPr>
          <w:rFonts w:ascii="Arial" w:hAnsi="Arial" w:cs="Arial"/>
          <w:b/>
          <w:bCs/>
        </w:rPr>
      </w:pPr>
      <w:r w:rsidRPr="007019B8">
        <w:rPr>
          <w:rFonts w:ascii="Arial" w:hAnsi="Arial" w:cs="Arial"/>
          <w:b/>
          <w:bCs/>
        </w:rPr>
        <w:t>What is HaemSTAR?</w:t>
      </w:r>
    </w:p>
    <w:p w14:paraId="3FD00929" w14:textId="53E3DEE7" w:rsidR="00754203" w:rsidRDefault="00754203" w:rsidP="00754203">
      <w:pPr>
        <w:rPr>
          <w:rFonts w:ascii="Arial" w:hAnsi="Arial" w:cs="Arial"/>
        </w:rPr>
      </w:pPr>
      <w:r w:rsidRPr="007019B8">
        <w:rPr>
          <w:rFonts w:ascii="Arial" w:hAnsi="Arial" w:cs="Arial"/>
        </w:rPr>
        <w:t xml:space="preserve">HaemSTAR is UK-wide network organisation of clinical haematology trainees who are interested in research in non-malignant haematology. It is supported by the National Institute of Health Research and is a non-profit organisation. More information can be found at </w:t>
      </w:r>
      <w:hyperlink r:id="rId18" w:history="1">
        <w:r w:rsidRPr="007019B8">
          <w:rPr>
            <w:rStyle w:val="Hyperlink"/>
            <w:rFonts w:ascii="Arial" w:hAnsi="Arial" w:cs="Arial"/>
          </w:rPr>
          <w:t>www.haemstar.org</w:t>
        </w:r>
      </w:hyperlink>
      <w:r>
        <w:rPr>
          <w:rFonts w:ascii="Arial" w:hAnsi="Arial" w:cs="Arial"/>
        </w:rPr>
        <w:t>.</w:t>
      </w:r>
    </w:p>
    <w:p w14:paraId="67EB2B18" w14:textId="0B75C37F" w:rsidR="0047421F" w:rsidRDefault="0047421F" w:rsidP="00754203">
      <w:pPr>
        <w:rPr>
          <w:rFonts w:ascii="Arial" w:eastAsiaTheme="majorEastAsia" w:hAnsi="Arial" w:cs="Arial"/>
          <w:b/>
          <w:bCs/>
        </w:rPr>
      </w:pPr>
      <w:r>
        <w:rPr>
          <w:rFonts w:ascii="Arial" w:eastAsiaTheme="majorEastAsia" w:hAnsi="Arial" w:cs="Arial"/>
          <w:b/>
          <w:bCs/>
        </w:rPr>
        <w:t xml:space="preserve">Who are </w:t>
      </w:r>
      <w:proofErr w:type="spellStart"/>
      <w:r>
        <w:rPr>
          <w:rFonts w:ascii="Arial" w:eastAsiaTheme="majorEastAsia" w:hAnsi="Arial" w:cs="Arial"/>
          <w:b/>
          <w:bCs/>
        </w:rPr>
        <w:t>BiCOPS</w:t>
      </w:r>
      <w:proofErr w:type="spellEnd"/>
      <w:r w:rsidR="000A49DD">
        <w:rPr>
          <w:rFonts w:ascii="Arial" w:eastAsiaTheme="majorEastAsia" w:hAnsi="Arial" w:cs="Arial"/>
          <w:b/>
          <w:bCs/>
        </w:rPr>
        <w:t>?</w:t>
      </w:r>
    </w:p>
    <w:p w14:paraId="2AFC3713" w14:textId="150B0A9B" w:rsidR="00754203" w:rsidRPr="00706B4A" w:rsidRDefault="0047421F" w:rsidP="00706B4A">
      <w:pPr>
        <w:rPr>
          <w:rFonts w:ascii="Arial" w:eastAsiaTheme="majorEastAsia" w:hAnsi="Arial" w:cs="Arial"/>
        </w:rPr>
      </w:pPr>
      <w:r>
        <w:rPr>
          <w:rFonts w:ascii="Arial" w:eastAsiaTheme="majorEastAsia" w:hAnsi="Arial" w:cs="Arial"/>
        </w:rPr>
        <w:t>The Birmingham Centre for Observational and Prospective Studies (</w:t>
      </w:r>
      <w:proofErr w:type="spellStart"/>
      <w:r>
        <w:rPr>
          <w:rFonts w:ascii="Arial" w:eastAsiaTheme="majorEastAsia" w:hAnsi="Arial" w:cs="Arial"/>
        </w:rPr>
        <w:t>BiCOPS</w:t>
      </w:r>
      <w:proofErr w:type="spellEnd"/>
      <w:r>
        <w:rPr>
          <w:rFonts w:ascii="Arial" w:eastAsiaTheme="majorEastAsia" w:hAnsi="Arial" w:cs="Arial"/>
        </w:rPr>
        <w:t>)</w:t>
      </w:r>
      <w:r w:rsidR="000A49DD">
        <w:rPr>
          <w:rFonts w:ascii="Arial" w:eastAsiaTheme="majorEastAsia" w:hAnsi="Arial" w:cs="Arial"/>
        </w:rPr>
        <w:t>, part of the University of Birmingham,</w:t>
      </w:r>
      <w:r>
        <w:rPr>
          <w:rFonts w:ascii="Arial" w:eastAsiaTheme="majorEastAsia" w:hAnsi="Arial" w:cs="Arial"/>
        </w:rPr>
        <w:t xml:space="preserve"> </w:t>
      </w:r>
      <w:r w:rsidR="000A49DD">
        <w:rPr>
          <w:rFonts w:ascii="Arial" w:eastAsiaTheme="majorEastAsia" w:hAnsi="Arial" w:cs="Arial"/>
        </w:rPr>
        <w:t>facilitate the conduct of clinical audits and prospective observational cohort studies. They will be working with the HaemSTAR collaborative on RAPIDO providing met</w:t>
      </w:r>
      <w:r w:rsidR="00F663F1">
        <w:rPr>
          <w:rFonts w:ascii="Arial" w:eastAsiaTheme="majorEastAsia" w:hAnsi="Arial" w:cs="Arial"/>
        </w:rPr>
        <w:t>hodological advice, the bespoke database, project management and data integrity and statistical analysis.</w:t>
      </w:r>
      <w:r w:rsidR="00754203" w:rsidRPr="007019B8">
        <w:rPr>
          <w:rFonts w:ascii="Arial" w:hAnsi="Arial" w:cs="Arial"/>
          <w:sz w:val="26"/>
          <w:szCs w:val="26"/>
        </w:rPr>
        <w:br w:type="page"/>
      </w:r>
      <w:bookmarkStart w:id="9" w:name="_Toc97120374"/>
      <w:r w:rsidR="00754203" w:rsidRPr="007019B8">
        <w:rPr>
          <w:rFonts w:ascii="Arial" w:hAnsi="Arial" w:cs="Arial"/>
          <w:b/>
          <w:bCs/>
        </w:rPr>
        <w:lastRenderedPageBreak/>
        <w:t>Appendix 1: Data to be collected</w:t>
      </w:r>
      <w:bookmarkEnd w:id="9"/>
    </w:p>
    <w:p w14:paraId="28D98AD4" w14:textId="77777777" w:rsidR="00754203" w:rsidRPr="007019B8" w:rsidRDefault="00754203" w:rsidP="00754203">
      <w:pPr>
        <w:rPr>
          <w:rFonts w:ascii="Arial" w:hAnsi="Arial" w:cs="Arial"/>
          <w:b/>
          <w:bCs/>
        </w:rPr>
      </w:pPr>
      <w:r w:rsidRPr="007019B8">
        <w:rPr>
          <w:rFonts w:ascii="Arial" w:hAnsi="Arial" w:cs="Arial"/>
          <w:b/>
          <w:bCs/>
        </w:rPr>
        <w:t>Demographic data and medical history</w:t>
      </w:r>
    </w:p>
    <w:p w14:paraId="3CAF9FF6" w14:textId="77777777" w:rsidR="00754203" w:rsidRPr="007019B8" w:rsidRDefault="00754203" w:rsidP="00754203">
      <w:pPr>
        <w:pStyle w:val="ListParagraph"/>
        <w:numPr>
          <w:ilvl w:val="0"/>
          <w:numId w:val="7"/>
        </w:numPr>
        <w:rPr>
          <w:rFonts w:ascii="Arial" w:hAnsi="Arial" w:cs="Arial"/>
        </w:rPr>
      </w:pPr>
      <w:r w:rsidRPr="007019B8">
        <w:rPr>
          <w:rFonts w:ascii="Arial" w:hAnsi="Arial" w:cs="Arial"/>
        </w:rPr>
        <w:t>Hospital site</w:t>
      </w:r>
    </w:p>
    <w:p w14:paraId="38987C01" w14:textId="77777777" w:rsidR="00754203" w:rsidRPr="007019B8" w:rsidRDefault="00754203" w:rsidP="00754203">
      <w:pPr>
        <w:pStyle w:val="ListParagraph"/>
        <w:numPr>
          <w:ilvl w:val="0"/>
          <w:numId w:val="7"/>
        </w:numPr>
        <w:rPr>
          <w:rFonts w:ascii="Arial" w:hAnsi="Arial" w:cs="Arial"/>
        </w:rPr>
      </w:pPr>
      <w:r w:rsidRPr="007019B8">
        <w:rPr>
          <w:rFonts w:ascii="Arial" w:hAnsi="Arial" w:cs="Arial"/>
        </w:rPr>
        <w:t>Age</w:t>
      </w:r>
    </w:p>
    <w:p w14:paraId="4CDA11D2" w14:textId="77777777" w:rsidR="00754203" w:rsidRPr="007019B8" w:rsidRDefault="00754203" w:rsidP="00754203">
      <w:pPr>
        <w:pStyle w:val="ListParagraph"/>
        <w:numPr>
          <w:ilvl w:val="0"/>
          <w:numId w:val="7"/>
        </w:numPr>
        <w:rPr>
          <w:rFonts w:ascii="Arial" w:hAnsi="Arial" w:cs="Arial"/>
        </w:rPr>
      </w:pPr>
      <w:r w:rsidRPr="007019B8">
        <w:rPr>
          <w:rFonts w:ascii="Arial" w:hAnsi="Arial" w:cs="Arial"/>
        </w:rPr>
        <w:t>Sex</w:t>
      </w:r>
    </w:p>
    <w:p w14:paraId="64EA8EDC" w14:textId="77777777" w:rsidR="00754203" w:rsidRPr="007019B8" w:rsidRDefault="00754203" w:rsidP="00754203">
      <w:pPr>
        <w:pStyle w:val="ListParagraph"/>
        <w:numPr>
          <w:ilvl w:val="0"/>
          <w:numId w:val="7"/>
        </w:numPr>
        <w:rPr>
          <w:rFonts w:ascii="Arial" w:hAnsi="Arial" w:cs="Arial"/>
        </w:rPr>
      </w:pPr>
      <w:r w:rsidRPr="007019B8">
        <w:rPr>
          <w:rFonts w:ascii="Arial" w:hAnsi="Arial" w:cs="Arial"/>
        </w:rPr>
        <w:t>Ethnicity (Office of National Statistics categories)</w:t>
      </w:r>
    </w:p>
    <w:p w14:paraId="15778B81" w14:textId="77777777" w:rsidR="00754203" w:rsidRPr="007019B8" w:rsidRDefault="00754203" w:rsidP="00754203">
      <w:pPr>
        <w:pStyle w:val="ListParagraph"/>
        <w:numPr>
          <w:ilvl w:val="0"/>
          <w:numId w:val="7"/>
        </w:numPr>
        <w:rPr>
          <w:rFonts w:ascii="Arial" w:hAnsi="Arial" w:cs="Arial"/>
        </w:rPr>
      </w:pPr>
      <w:r w:rsidRPr="007019B8">
        <w:rPr>
          <w:rFonts w:ascii="Arial" w:hAnsi="Arial" w:cs="Arial"/>
        </w:rPr>
        <w:t>Weight</w:t>
      </w:r>
    </w:p>
    <w:p w14:paraId="262F97D3" w14:textId="77777777" w:rsidR="00754203" w:rsidRPr="007019B8" w:rsidRDefault="00754203" w:rsidP="00754203">
      <w:pPr>
        <w:pStyle w:val="ListParagraph"/>
        <w:numPr>
          <w:ilvl w:val="0"/>
          <w:numId w:val="7"/>
        </w:numPr>
        <w:rPr>
          <w:rFonts w:ascii="Arial" w:hAnsi="Arial" w:cs="Arial"/>
        </w:rPr>
      </w:pPr>
      <w:r w:rsidRPr="007019B8">
        <w:rPr>
          <w:rFonts w:ascii="Arial" w:hAnsi="Arial" w:cs="Arial"/>
        </w:rPr>
        <w:t>Height</w:t>
      </w:r>
    </w:p>
    <w:p w14:paraId="0AE049D4" w14:textId="77777777" w:rsidR="00754203" w:rsidRPr="007019B8" w:rsidRDefault="00754203" w:rsidP="00754203">
      <w:pPr>
        <w:rPr>
          <w:rFonts w:ascii="Arial" w:hAnsi="Arial" w:cs="Arial"/>
          <w:b/>
          <w:bCs/>
        </w:rPr>
      </w:pPr>
      <w:r w:rsidRPr="007019B8">
        <w:rPr>
          <w:rFonts w:ascii="Arial" w:hAnsi="Arial" w:cs="Arial"/>
          <w:b/>
          <w:bCs/>
        </w:rPr>
        <w:t>Comorbidities</w:t>
      </w:r>
    </w:p>
    <w:p w14:paraId="597D0B21" w14:textId="77777777" w:rsidR="00754203" w:rsidRDefault="00754203" w:rsidP="00754203">
      <w:pPr>
        <w:pStyle w:val="ListParagraph"/>
        <w:numPr>
          <w:ilvl w:val="0"/>
          <w:numId w:val="18"/>
        </w:numPr>
        <w:rPr>
          <w:rFonts w:ascii="Arial" w:hAnsi="Arial" w:cs="Arial"/>
        </w:rPr>
      </w:pPr>
      <w:r w:rsidRPr="00665E3B">
        <w:rPr>
          <w:rFonts w:ascii="Arial" w:hAnsi="Arial" w:cs="Arial"/>
        </w:rPr>
        <w:t>Active cancer</w:t>
      </w:r>
    </w:p>
    <w:p w14:paraId="2D20C4E9" w14:textId="77777777" w:rsidR="00754203" w:rsidRDefault="00754203" w:rsidP="00754203">
      <w:pPr>
        <w:pStyle w:val="ListParagraph"/>
        <w:numPr>
          <w:ilvl w:val="1"/>
          <w:numId w:val="18"/>
        </w:numPr>
        <w:rPr>
          <w:rFonts w:ascii="Arial" w:hAnsi="Arial" w:cs="Arial"/>
        </w:rPr>
      </w:pPr>
      <w:r>
        <w:rPr>
          <w:rFonts w:ascii="Arial" w:hAnsi="Arial" w:cs="Arial"/>
        </w:rPr>
        <w:t>Primary site</w:t>
      </w:r>
    </w:p>
    <w:p w14:paraId="5D2EE2E7" w14:textId="77777777" w:rsidR="00754203" w:rsidRDefault="00754203" w:rsidP="00754203">
      <w:pPr>
        <w:pStyle w:val="ListParagraph"/>
        <w:numPr>
          <w:ilvl w:val="1"/>
          <w:numId w:val="18"/>
        </w:numPr>
        <w:rPr>
          <w:rFonts w:ascii="Arial" w:hAnsi="Arial" w:cs="Arial"/>
        </w:rPr>
      </w:pPr>
      <w:r>
        <w:rPr>
          <w:rFonts w:ascii="Arial" w:hAnsi="Arial" w:cs="Arial"/>
        </w:rPr>
        <w:t>Presence of cerebral metastases</w:t>
      </w:r>
    </w:p>
    <w:p w14:paraId="6AC3A3F6" w14:textId="77777777" w:rsidR="00754203" w:rsidRDefault="00754203" w:rsidP="00754203">
      <w:pPr>
        <w:pStyle w:val="ListParagraph"/>
        <w:numPr>
          <w:ilvl w:val="0"/>
          <w:numId w:val="18"/>
        </w:numPr>
        <w:rPr>
          <w:rFonts w:ascii="Arial" w:hAnsi="Arial" w:cs="Arial"/>
        </w:rPr>
      </w:pPr>
      <w:r>
        <w:rPr>
          <w:rFonts w:ascii="Arial" w:hAnsi="Arial" w:cs="Arial"/>
        </w:rPr>
        <w:t>Atrial fibrillation</w:t>
      </w:r>
    </w:p>
    <w:p w14:paraId="6E7611B8" w14:textId="77777777" w:rsidR="00754203" w:rsidRDefault="00754203" w:rsidP="00754203">
      <w:pPr>
        <w:pStyle w:val="ListParagraph"/>
        <w:numPr>
          <w:ilvl w:val="0"/>
          <w:numId w:val="18"/>
        </w:numPr>
        <w:rPr>
          <w:rFonts w:ascii="Arial" w:hAnsi="Arial" w:cs="Arial"/>
        </w:rPr>
      </w:pPr>
      <w:r>
        <w:rPr>
          <w:rFonts w:ascii="Arial" w:hAnsi="Arial" w:cs="Arial"/>
        </w:rPr>
        <w:t>Congestive cardiac failure</w:t>
      </w:r>
    </w:p>
    <w:p w14:paraId="4292BBA0" w14:textId="77777777" w:rsidR="00754203" w:rsidRDefault="00754203" w:rsidP="00754203">
      <w:pPr>
        <w:pStyle w:val="ListParagraph"/>
        <w:numPr>
          <w:ilvl w:val="0"/>
          <w:numId w:val="18"/>
        </w:numPr>
        <w:rPr>
          <w:rFonts w:ascii="Arial" w:hAnsi="Arial" w:cs="Arial"/>
        </w:rPr>
      </w:pPr>
      <w:r>
        <w:rPr>
          <w:rFonts w:ascii="Arial" w:hAnsi="Arial" w:cs="Arial"/>
        </w:rPr>
        <w:t>Dementia</w:t>
      </w:r>
    </w:p>
    <w:p w14:paraId="1234C5AA" w14:textId="77777777" w:rsidR="00754203" w:rsidRDefault="00754203" w:rsidP="00754203">
      <w:pPr>
        <w:pStyle w:val="ListParagraph"/>
        <w:numPr>
          <w:ilvl w:val="0"/>
          <w:numId w:val="18"/>
        </w:numPr>
        <w:rPr>
          <w:rFonts w:ascii="Arial" w:hAnsi="Arial" w:cs="Arial"/>
        </w:rPr>
      </w:pPr>
      <w:r>
        <w:rPr>
          <w:rFonts w:ascii="Arial" w:hAnsi="Arial" w:cs="Arial"/>
        </w:rPr>
        <w:t>Ischaemic heart disease</w:t>
      </w:r>
    </w:p>
    <w:p w14:paraId="0D8FCAC0" w14:textId="77777777" w:rsidR="00754203" w:rsidRDefault="00754203" w:rsidP="00754203">
      <w:pPr>
        <w:pStyle w:val="ListParagraph"/>
        <w:numPr>
          <w:ilvl w:val="0"/>
          <w:numId w:val="18"/>
        </w:numPr>
        <w:rPr>
          <w:rFonts w:ascii="Arial" w:hAnsi="Arial" w:cs="Arial"/>
        </w:rPr>
      </w:pPr>
      <w:r>
        <w:rPr>
          <w:rFonts w:ascii="Arial" w:hAnsi="Arial" w:cs="Arial"/>
        </w:rPr>
        <w:t>Liver disease</w:t>
      </w:r>
    </w:p>
    <w:p w14:paraId="6061DFDF" w14:textId="77777777" w:rsidR="00754203" w:rsidRDefault="00754203" w:rsidP="00754203">
      <w:pPr>
        <w:pStyle w:val="ListParagraph"/>
        <w:numPr>
          <w:ilvl w:val="0"/>
          <w:numId w:val="18"/>
        </w:numPr>
        <w:rPr>
          <w:rFonts w:ascii="Arial" w:hAnsi="Arial" w:cs="Arial"/>
        </w:rPr>
      </w:pPr>
      <w:r>
        <w:rPr>
          <w:rFonts w:ascii="Arial" w:hAnsi="Arial" w:cs="Arial"/>
        </w:rPr>
        <w:t>Peripheral vascular disease</w:t>
      </w:r>
    </w:p>
    <w:p w14:paraId="25D649BA" w14:textId="77777777" w:rsidR="00754203" w:rsidRDefault="00754203" w:rsidP="00754203">
      <w:pPr>
        <w:pStyle w:val="ListParagraph"/>
        <w:numPr>
          <w:ilvl w:val="0"/>
          <w:numId w:val="18"/>
        </w:numPr>
        <w:rPr>
          <w:rFonts w:ascii="Arial" w:hAnsi="Arial" w:cs="Arial"/>
        </w:rPr>
      </w:pPr>
      <w:r>
        <w:rPr>
          <w:rFonts w:ascii="Arial" w:hAnsi="Arial" w:cs="Arial"/>
        </w:rPr>
        <w:t>Prior major bleeding</w:t>
      </w:r>
    </w:p>
    <w:p w14:paraId="28D724A3" w14:textId="77777777" w:rsidR="00754203" w:rsidRDefault="00754203" w:rsidP="00754203">
      <w:pPr>
        <w:pStyle w:val="ListParagraph"/>
        <w:numPr>
          <w:ilvl w:val="0"/>
          <w:numId w:val="18"/>
        </w:numPr>
        <w:rPr>
          <w:rFonts w:ascii="Arial" w:hAnsi="Arial" w:cs="Arial"/>
        </w:rPr>
      </w:pPr>
      <w:r>
        <w:rPr>
          <w:rFonts w:ascii="Arial" w:hAnsi="Arial" w:cs="Arial"/>
        </w:rPr>
        <w:t>Prior thrombosis – arterial</w:t>
      </w:r>
    </w:p>
    <w:p w14:paraId="60A5404E" w14:textId="77777777" w:rsidR="00754203" w:rsidRDefault="00754203" w:rsidP="00754203">
      <w:pPr>
        <w:pStyle w:val="ListParagraph"/>
        <w:numPr>
          <w:ilvl w:val="0"/>
          <w:numId w:val="18"/>
        </w:numPr>
        <w:rPr>
          <w:rFonts w:ascii="Arial" w:hAnsi="Arial" w:cs="Arial"/>
        </w:rPr>
      </w:pPr>
      <w:r>
        <w:rPr>
          <w:rFonts w:ascii="Arial" w:hAnsi="Arial" w:cs="Arial"/>
        </w:rPr>
        <w:t>Prior thrombosis – venous</w:t>
      </w:r>
    </w:p>
    <w:p w14:paraId="3EA0C7ED" w14:textId="77777777" w:rsidR="00754203" w:rsidRDefault="00754203" w:rsidP="00754203">
      <w:pPr>
        <w:pStyle w:val="ListParagraph"/>
        <w:numPr>
          <w:ilvl w:val="0"/>
          <w:numId w:val="18"/>
        </w:numPr>
        <w:rPr>
          <w:rFonts w:ascii="Arial" w:hAnsi="Arial" w:cs="Arial"/>
        </w:rPr>
      </w:pPr>
      <w:r>
        <w:rPr>
          <w:rFonts w:ascii="Arial" w:hAnsi="Arial" w:cs="Arial"/>
        </w:rPr>
        <w:t>Renal disease</w:t>
      </w:r>
    </w:p>
    <w:p w14:paraId="3922B5E6" w14:textId="77777777" w:rsidR="00754203" w:rsidRPr="0053091F" w:rsidRDefault="00754203" w:rsidP="00754203">
      <w:pPr>
        <w:pStyle w:val="ListParagraph"/>
        <w:numPr>
          <w:ilvl w:val="0"/>
          <w:numId w:val="18"/>
        </w:numPr>
        <w:rPr>
          <w:rFonts w:ascii="Arial" w:hAnsi="Arial" w:cs="Arial"/>
        </w:rPr>
      </w:pPr>
      <w:r>
        <w:rPr>
          <w:rFonts w:ascii="Arial" w:hAnsi="Arial" w:cs="Arial"/>
        </w:rPr>
        <w:t>Surgery in last 6 months</w:t>
      </w:r>
    </w:p>
    <w:p w14:paraId="03A91A7D" w14:textId="77777777" w:rsidR="00754203" w:rsidRPr="007019B8" w:rsidRDefault="00754203" w:rsidP="00754203">
      <w:pPr>
        <w:rPr>
          <w:rFonts w:ascii="Arial" w:hAnsi="Arial" w:cs="Arial"/>
          <w:b/>
          <w:bCs/>
        </w:rPr>
      </w:pPr>
      <w:r w:rsidRPr="007019B8">
        <w:rPr>
          <w:rFonts w:ascii="Arial" w:hAnsi="Arial" w:cs="Arial"/>
          <w:b/>
          <w:bCs/>
        </w:rPr>
        <w:t>Relevant concurrent medications</w:t>
      </w:r>
    </w:p>
    <w:p w14:paraId="0969F066" w14:textId="77777777" w:rsidR="00754203" w:rsidRPr="007019B8" w:rsidRDefault="00754203" w:rsidP="00754203">
      <w:pPr>
        <w:pStyle w:val="ListParagraph"/>
        <w:numPr>
          <w:ilvl w:val="0"/>
          <w:numId w:val="11"/>
        </w:numPr>
        <w:rPr>
          <w:rFonts w:ascii="Arial" w:hAnsi="Arial" w:cs="Arial"/>
        </w:rPr>
      </w:pPr>
      <w:r w:rsidRPr="007019B8">
        <w:rPr>
          <w:rFonts w:ascii="Arial" w:hAnsi="Arial" w:cs="Arial"/>
        </w:rPr>
        <w:t>Antihypertensives</w:t>
      </w:r>
    </w:p>
    <w:p w14:paraId="40383B5E" w14:textId="77777777" w:rsidR="00754203" w:rsidRPr="007019B8" w:rsidRDefault="00754203" w:rsidP="00754203">
      <w:pPr>
        <w:pStyle w:val="ListParagraph"/>
        <w:numPr>
          <w:ilvl w:val="0"/>
          <w:numId w:val="11"/>
        </w:numPr>
        <w:rPr>
          <w:rFonts w:ascii="Arial" w:hAnsi="Arial" w:cs="Arial"/>
        </w:rPr>
      </w:pPr>
      <w:r w:rsidRPr="007019B8">
        <w:rPr>
          <w:rFonts w:ascii="Arial" w:hAnsi="Arial" w:cs="Arial"/>
        </w:rPr>
        <w:t>Antiplatelets</w:t>
      </w:r>
    </w:p>
    <w:p w14:paraId="484A5579" w14:textId="77777777" w:rsidR="00754203" w:rsidRPr="007019B8" w:rsidRDefault="00754203" w:rsidP="00754203">
      <w:pPr>
        <w:pStyle w:val="ListParagraph"/>
        <w:numPr>
          <w:ilvl w:val="0"/>
          <w:numId w:val="11"/>
        </w:numPr>
        <w:rPr>
          <w:rFonts w:ascii="Arial" w:hAnsi="Arial" w:cs="Arial"/>
        </w:rPr>
      </w:pPr>
      <w:r>
        <w:rPr>
          <w:rFonts w:ascii="Arial" w:hAnsi="Arial" w:cs="Arial"/>
        </w:rPr>
        <w:t>Antidepressants</w:t>
      </w:r>
    </w:p>
    <w:p w14:paraId="66BDD201" w14:textId="77777777" w:rsidR="00754203" w:rsidRPr="007019B8" w:rsidRDefault="00754203" w:rsidP="00754203">
      <w:pPr>
        <w:rPr>
          <w:rFonts w:ascii="Arial" w:hAnsi="Arial" w:cs="Arial"/>
          <w:b/>
          <w:bCs/>
        </w:rPr>
      </w:pPr>
      <w:r w:rsidRPr="007019B8">
        <w:rPr>
          <w:rFonts w:ascii="Arial" w:hAnsi="Arial" w:cs="Arial"/>
          <w:b/>
          <w:bCs/>
        </w:rPr>
        <w:t>Social history</w:t>
      </w:r>
    </w:p>
    <w:p w14:paraId="1B2E6268" w14:textId="77777777" w:rsidR="00754203" w:rsidRPr="007019B8" w:rsidRDefault="00754203" w:rsidP="00754203">
      <w:pPr>
        <w:pStyle w:val="ListParagraph"/>
        <w:numPr>
          <w:ilvl w:val="0"/>
          <w:numId w:val="13"/>
        </w:numPr>
        <w:rPr>
          <w:rFonts w:ascii="Arial" w:hAnsi="Arial" w:cs="Arial"/>
        </w:rPr>
      </w:pPr>
      <w:r w:rsidRPr="007019B8">
        <w:rPr>
          <w:rFonts w:ascii="Arial" w:hAnsi="Arial" w:cs="Arial"/>
        </w:rPr>
        <w:t>Alcohol intake</w:t>
      </w:r>
    </w:p>
    <w:p w14:paraId="5D81F4CA" w14:textId="77777777" w:rsidR="00754203" w:rsidRPr="007019B8" w:rsidRDefault="00754203" w:rsidP="00754203">
      <w:pPr>
        <w:pStyle w:val="ListParagraph"/>
        <w:numPr>
          <w:ilvl w:val="0"/>
          <w:numId w:val="12"/>
        </w:numPr>
        <w:rPr>
          <w:rFonts w:ascii="Arial" w:hAnsi="Arial" w:cs="Arial"/>
        </w:rPr>
      </w:pPr>
      <w:r w:rsidRPr="007019B8">
        <w:rPr>
          <w:rFonts w:ascii="Arial" w:hAnsi="Arial" w:cs="Arial"/>
        </w:rPr>
        <w:t>None</w:t>
      </w:r>
    </w:p>
    <w:p w14:paraId="5D98CE62" w14:textId="77777777" w:rsidR="00754203" w:rsidRPr="007019B8" w:rsidRDefault="00754203" w:rsidP="00754203">
      <w:pPr>
        <w:pStyle w:val="ListParagraph"/>
        <w:numPr>
          <w:ilvl w:val="0"/>
          <w:numId w:val="12"/>
        </w:numPr>
        <w:rPr>
          <w:rFonts w:ascii="Arial" w:hAnsi="Arial" w:cs="Arial"/>
        </w:rPr>
      </w:pPr>
      <w:r w:rsidRPr="007019B8">
        <w:rPr>
          <w:rFonts w:ascii="Arial" w:hAnsi="Arial" w:cs="Arial"/>
        </w:rPr>
        <w:t>≤14 units / week</w:t>
      </w:r>
    </w:p>
    <w:p w14:paraId="4A32801C" w14:textId="77777777" w:rsidR="00754203" w:rsidRPr="007019B8" w:rsidRDefault="00754203" w:rsidP="00754203">
      <w:pPr>
        <w:pStyle w:val="ListParagraph"/>
        <w:numPr>
          <w:ilvl w:val="0"/>
          <w:numId w:val="12"/>
        </w:numPr>
        <w:rPr>
          <w:rFonts w:ascii="Arial" w:hAnsi="Arial" w:cs="Arial"/>
        </w:rPr>
      </w:pPr>
      <w:r w:rsidRPr="007019B8">
        <w:rPr>
          <w:rFonts w:ascii="Arial" w:hAnsi="Arial" w:cs="Arial"/>
        </w:rPr>
        <w:t>&gt;14 units / week</w:t>
      </w:r>
    </w:p>
    <w:p w14:paraId="0E698B57" w14:textId="77777777" w:rsidR="00754203" w:rsidRPr="007019B8" w:rsidRDefault="00754203" w:rsidP="00754203">
      <w:pPr>
        <w:pStyle w:val="ListParagraph"/>
        <w:numPr>
          <w:ilvl w:val="0"/>
          <w:numId w:val="12"/>
        </w:numPr>
        <w:ind w:left="709"/>
        <w:rPr>
          <w:rFonts w:ascii="Arial" w:hAnsi="Arial" w:cs="Arial"/>
        </w:rPr>
      </w:pPr>
      <w:r w:rsidRPr="007019B8">
        <w:rPr>
          <w:rFonts w:ascii="Arial" w:hAnsi="Arial" w:cs="Arial"/>
        </w:rPr>
        <w:t>Smoking history</w:t>
      </w:r>
    </w:p>
    <w:p w14:paraId="021341EE" w14:textId="77777777" w:rsidR="00754203" w:rsidRPr="007019B8" w:rsidRDefault="00754203" w:rsidP="00754203">
      <w:pPr>
        <w:pStyle w:val="ListParagraph"/>
        <w:numPr>
          <w:ilvl w:val="0"/>
          <w:numId w:val="12"/>
        </w:numPr>
        <w:rPr>
          <w:rFonts w:ascii="Arial" w:hAnsi="Arial" w:cs="Arial"/>
        </w:rPr>
      </w:pPr>
      <w:r w:rsidRPr="007019B8">
        <w:rPr>
          <w:rFonts w:ascii="Arial" w:hAnsi="Arial" w:cs="Arial"/>
        </w:rPr>
        <w:t>Current</w:t>
      </w:r>
    </w:p>
    <w:p w14:paraId="37D4F937" w14:textId="77777777" w:rsidR="00754203" w:rsidRPr="007019B8" w:rsidRDefault="00754203" w:rsidP="00754203">
      <w:pPr>
        <w:pStyle w:val="ListParagraph"/>
        <w:numPr>
          <w:ilvl w:val="0"/>
          <w:numId w:val="12"/>
        </w:numPr>
        <w:rPr>
          <w:rFonts w:ascii="Arial" w:hAnsi="Arial" w:cs="Arial"/>
        </w:rPr>
      </w:pPr>
      <w:r w:rsidRPr="007019B8">
        <w:rPr>
          <w:rFonts w:ascii="Arial" w:hAnsi="Arial" w:cs="Arial"/>
        </w:rPr>
        <w:t>Non-smoker</w:t>
      </w:r>
    </w:p>
    <w:p w14:paraId="00697DD7" w14:textId="77777777" w:rsidR="00754203" w:rsidRPr="007019B8" w:rsidRDefault="00754203" w:rsidP="00754203">
      <w:pPr>
        <w:pStyle w:val="ListParagraph"/>
        <w:numPr>
          <w:ilvl w:val="0"/>
          <w:numId w:val="12"/>
        </w:numPr>
        <w:rPr>
          <w:rFonts w:ascii="Arial" w:hAnsi="Arial" w:cs="Arial"/>
        </w:rPr>
      </w:pPr>
      <w:r w:rsidRPr="007019B8">
        <w:rPr>
          <w:rFonts w:ascii="Arial" w:hAnsi="Arial" w:cs="Arial"/>
        </w:rPr>
        <w:t>Ex-smoker</w:t>
      </w:r>
    </w:p>
    <w:p w14:paraId="6A0D56D4" w14:textId="77777777" w:rsidR="00754203" w:rsidRPr="007019B8" w:rsidRDefault="00754203" w:rsidP="00754203">
      <w:pPr>
        <w:rPr>
          <w:rFonts w:ascii="Arial" w:hAnsi="Arial" w:cs="Arial"/>
          <w:b/>
          <w:bCs/>
        </w:rPr>
      </w:pPr>
      <w:r w:rsidRPr="007019B8">
        <w:rPr>
          <w:rFonts w:ascii="Arial" w:hAnsi="Arial" w:cs="Arial"/>
          <w:b/>
          <w:bCs/>
        </w:rPr>
        <w:t>Information about DOAC treatment</w:t>
      </w:r>
    </w:p>
    <w:p w14:paraId="1CC8E5ED" w14:textId="77777777" w:rsidR="00754203" w:rsidRPr="007019B8" w:rsidRDefault="00754203" w:rsidP="00754203">
      <w:pPr>
        <w:pStyle w:val="ListParagraph"/>
        <w:numPr>
          <w:ilvl w:val="0"/>
          <w:numId w:val="8"/>
        </w:numPr>
        <w:rPr>
          <w:rFonts w:ascii="Arial" w:hAnsi="Arial" w:cs="Arial"/>
        </w:rPr>
      </w:pPr>
      <w:r w:rsidRPr="007019B8">
        <w:rPr>
          <w:rFonts w:ascii="Arial" w:hAnsi="Arial" w:cs="Arial"/>
        </w:rPr>
        <w:t>Which DOAC they are taking</w:t>
      </w:r>
    </w:p>
    <w:p w14:paraId="62296DF7" w14:textId="77777777" w:rsidR="00754203" w:rsidRPr="007019B8" w:rsidRDefault="00754203" w:rsidP="00754203">
      <w:pPr>
        <w:pStyle w:val="ListParagraph"/>
        <w:numPr>
          <w:ilvl w:val="0"/>
          <w:numId w:val="8"/>
        </w:numPr>
        <w:rPr>
          <w:rFonts w:ascii="Arial" w:hAnsi="Arial" w:cs="Arial"/>
        </w:rPr>
      </w:pPr>
      <w:r w:rsidRPr="007019B8">
        <w:rPr>
          <w:rFonts w:ascii="Arial" w:hAnsi="Arial" w:cs="Arial"/>
        </w:rPr>
        <w:t>At what dose (mg)</w:t>
      </w:r>
    </w:p>
    <w:p w14:paraId="6A6C97C3" w14:textId="77777777" w:rsidR="00754203" w:rsidRPr="007019B8" w:rsidRDefault="00754203" w:rsidP="00754203">
      <w:pPr>
        <w:pStyle w:val="ListParagraph"/>
        <w:numPr>
          <w:ilvl w:val="0"/>
          <w:numId w:val="8"/>
        </w:numPr>
        <w:rPr>
          <w:rFonts w:ascii="Arial" w:hAnsi="Arial" w:cs="Arial"/>
        </w:rPr>
      </w:pPr>
      <w:r w:rsidRPr="007019B8">
        <w:rPr>
          <w:rFonts w:ascii="Arial" w:hAnsi="Arial" w:cs="Arial"/>
        </w:rPr>
        <w:t>Hours since last taken if known</w:t>
      </w:r>
    </w:p>
    <w:p w14:paraId="6306F76B" w14:textId="77777777" w:rsidR="00754203" w:rsidRPr="007019B8" w:rsidRDefault="00754203" w:rsidP="00754203">
      <w:pPr>
        <w:rPr>
          <w:rFonts w:ascii="Arial" w:hAnsi="Arial" w:cs="Arial"/>
          <w:b/>
          <w:bCs/>
        </w:rPr>
      </w:pPr>
      <w:r w:rsidRPr="007019B8">
        <w:rPr>
          <w:rFonts w:ascii="Arial" w:hAnsi="Arial" w:cs="Arial"/>
          <w:b/>
          <w:bCs/>
        </w:rPr>
        <w:t>Information about bleed</w:t>
      </w:r>
    </w:p>
    <w:p w14:paraId="1D4EAD13" w14:textId="77777777" w:rsidR="00754203" w:rsidRPr="007019B8" w:rsidRDefault="00754203" w:rsidP="00754203">
      <w:pPr>
        <w:pStyle w:val="ListParagraph"/>
        <w:numPr>
          <w:ilvl w:val="0"/>
          <w:numId w:val="9"/>
        </w:numPr>
        <w:rPr>
          <w:rFonts w:ascii="Arial" w:hAnsi="Arial" w:cs="Arial"/>
        </w:rPr>
      </w:pPr>
      <w:r w:rsidRPr="007019B8">
        <w:rPr>
          <w:rFonts w:ascii="Arial" w:hAnsi="Arial" w:cs="Arial"/>
        </w:rPr>
        <w:lastRenderedPageBreak/>
        <w:t>Date of bleed</w:t>
      </w:r>
      <w:r>
        <w:rPr>
          <w:rFonts w:ascii="Arial" w:hAnsi="Arial" w:cs="Arial"/>
        </w:rPr>
        <w:t xml:space="preserve"> onset</w:t>
      </w:r>
    </w:p>
    <w:p w14:paraId="6E526646" w14:textId="77777777" w:rsidR="00754203" w:rsidRPr="007019B8" w:rsidRDefault="00754203" w:rsidP="00754203">
      <w:pPr>
        <w:pStyle w:val="ListParagraph"/>
        <w:numPr>
          <w:ilvl w:val="0"/>
          <w:numId w:val="9"/>
        </w:numPr>
        <w:rPr>
          <w:rFonts w:ascii="Arial" w:hAnsi="Arial" w:cs="Arial"/>
        </w:rPr>
      </w:pPr>
      <w:r w:rsidRPr="007019B8">
        <w:rPr>
          <w:rFonts w:ascii="Arial" w:hAnsi="Arial" w:cs="Arial"/>
        </w:rPr>
        <w:t>Time of bleed</w:t>
      </w:r>
      <w:r>
        <w:rPr>
          <w:rFonts w:ascii="Arial" w:hAnsi="Arial" w:cs="Arial"/>
        </w:rPr>
        <w:t xml:space="preserve"> onset</w:t>
      </w:r>
    </w:p>
    <w:p w14:paraId="6A2A8A5B" w14:textId="77777777" w:rsidR="00754203" w:rsidRPr="007019B8" w:rsidRDefault="00754203" w:rsidP="00754203">
      <w:pPr>
        <w:pStyle w:val="ListParagraph"/>
        <w:numPr>
          <w:ilvl w:val="0"/>
          <w:numId w:val="9"/>
        </w:numPr>
        <w:rPr>
          <w:rFonts w:ascii="Arial" w:hAnsi="Arial" w:cs="Arial"/>
        </w:rPr>
      </w:pPr>
      <w:r>
        <w:rPr>
          <w:rFonts w:ascii="Arial" w:hAnsi="Arial" w:cs="Arial"/>
        </w:rPr>
        <w:t>Bleeding site</w:t>
      </w:r>
    </w:p>
    <w:p w14:paraId="7D0AB9DE" w14:textId="77777777" w:rsidR="00754203" w:rsidRPr="007019B8" w:rsidRDefault="00754203" w:rsidP="00754203">
      <w:pPr>
        <w:pStyle w:val="ListParagraph"/>
        <w:numPr>
          <w:ilvl w:val="1"/>
          <w:numId w:val="9"/>
        </w:numPr>
        <w:rPr>
          <w:rFonts w:ascii="Arial" w:hAnsi="Arial" w:cs="Arial"/>
        </w:rPr>
      </w:pPr>
      <w:r w:rsidRPr="007019B8">
        <w:rPr>
          <w:rFonts w:ascii="Arial" w:hAnsi="Arial" w:cs="Arial"/>
        </w:rPr>
        <w:t>Gastrointestinal</w:t>
      </w:r>
    </w:p>
    <w:p w14:paraId="1F8980AC" w14:textId="77777777" w:rsidR="00754203" w:rsidRPr="007019B8" w:rsidRDefault="00754203" w:rsidP="00754203">
      <w:pPr>
        <w:pStyle w:val="ListParagraph"/>
        <w:numPr>
          <w:ilvl w:val="1"/>
          <w:numId w:val="9"/>
        </w:numPr>
        <w:rPr>
          <w:rFonts w:ascii="Arial" w:hAnsi="Arial" w:cs="Arial"/>
        </w:rPr>
      </w:pPr>
      <w:r w:rsidRPr="007019B8">
        <w:rPr>
          <w:rFonts w:ascii="Arial" w:hAnsi="Arial" w:cs="Arial"/>
        </w:rPr>
        <w:t>Intracranial</w:t>
      </w:r>
    </w:p>
    <w:p w14:paraId="791A063F" w14:textId="77777777" w:rsidR="00754203" w:rsidRPr="007019B8" w:rsidRDefault="00754203" w:rsidP="00754203">
      <w:pPr>
        <w:pStyle w:val="ListParagraph"/>
        <w:numPr>
          <w:ilvl w:val="2"/>
          <w:numId w:val="9"/>
        </w:numPr>
        <w:rPr>
          <w:rFonts w:ascii="Arial" w:hAnsi="Arial" w:cs="Arial"/>
        </w:rPr>
      </w:pPr>
      <w:r w:rsidRPr="007019B8">
        <w:rPr>
          <w:rFonts w:ascii="Arial" w:hAnsi="Arial" w:cs="Arial"/>
        </w:rPr>
        <w:t xml:space="preserve">Site of haemorrhage: infratentorial or supratentorial </w:t>
      </w:r>
    </w:p>
    <w:p w14:paraId="766E8ED4" w14:textId="77777777" w:rsidR="00754203" w:rsidRPr="007019B8" w:rsidRDefault="00754203" w:rsidP="00754203">
      <w:pPr>
        <w:pStyle w:val="ListParagraph"/>
        <w:numPr>
          <w:ilvl w:val="2"/>
          <w:numId w:val="9"/>
        </w:numPr>
        <w:rPr>
          <w:rFonts w:ascii="Arial" w:hAnsi="Arial" w:cs="Arial"/>
        </w:rPr>
      </w:pPr>
      <w:r w:rsidRPr="007019B8">
        <w:rPr>
          <w:rFonts w:ascii="Arial" w:hAnsi="Arial" w:cs="Arial"/>
        </w:rPr>
        <w:t>Intracranial bleed volume if known (ml)</w:t>
      </w:r>
    </w:p>
    <w:p w14:paraId="0A6A433F" w14:textId="77777777" w:rsidR="00754203" w:rsidRPr="007019B8" w:rsidRDefault="00754203" w:rsidP="00754203">
      <w:pPr>
        <w:pStyle w:val="ListParagraph"/>
        <w:numPr>
          <w:ilvl w:val="2"/>
          <w:numId w:val="9"/>
        </w:numPr>
        <w:rPr>
          <w:rFonts w:ascii="Arial" w:hAnsi="Arial" w:cs="Arial"/>
        </w:rPr>
      </w:pPr>
      <w:r w:rsidRPr="007019B8">
        <w:rPr>
          <w:rFonts w:ascii="Arial" w:hAnsi="Arial" w:cs="Arial"/>
        </w:rPr>
        <w:t>Intraventricular haemorrhage Y/N</w:t>
      </w:r>
    </w:p>
    <w:p w14:paraId="29A26E7A" w14:textId="77777777" w:rsidR="00754203" w:rsidRPr="007019B8" w:rsidRDefault="00754203" w:rsidP="00754203">
      <w:pPr>
        <w:pStyle w:val="ListParagraph"/>
        <w:numPr>
          <w:ilvl w:val="2"/>
          <w:numId w:val="9"/>
        </w:numPr>
        <w:rPr>
          <w:rFonts w:ascii="Arial" w:hAnsi="Arial" w:cs="Arial"/>
        </w:rPr>
      </w:pPr>
      <w:r w:rsidRPr="007019B8">
        <w:rPr>
          <w:rFonts w:ascii="Arial" w:hAnsi="Arial" w:cs="Arial"/>
        </w:rPr>
        <w:t xml:space="preserve">Worst GCS </w:t>
      </w:r>
      <w:r>
        <w:rPr>
          <w:rFonts w:ascii="Arial" w:hAnsi="Arial" w:cs="Arial"/>
        </w:rPr>
        <w:t xml:space="preserve">in first 6 hours from bleed onset </w:t>
      </w:r>
      <w:r w:rsidRPr="007019B8">
        <w:rPr>
          <w:rFonts w:ascii="Arial" w:hAnsi="Arial" w:cs="Arial"/>
        </w:rPr>
        <w:t>(3-15)</w:t>
      </w:r>
    </w:p>
    <w:p w14:paraId="577506B3" w14:textId="77777777" w:rsidR="00754203" w:rsidRPr="007019B8" w:rsidRDefault="00754203" w:rsidP="00754203">
      <w:pPr>
        <w:pStyle w:val="ListParagraph"/>
        <w:numPr>
          <w:ilvl w:val="1"/>
          <w:numId w:val="9"/>
        </w:numPr>
        <w:rPr>
          <w:rFonts w:ascii="Arial" w:hAnsi="Arial" w:cs="Arial"/>
        </w:rPr>
      </w:pPr>
      <w:r w:rsidRPr="007019B8">
        <w:rPr>
          <w:rFonts w:ascii="Arial" w:hAnsi="Arial" w:cs="Arial"/>
        </w:rPr>
        <w:t>Other – please give details</w:t>
      </w:r>
    </w:p>
    <w:p w14:paraId="3F8EECB3" w14:textId="77777777" w:rsidR="00754203" w:rsidRPr="007019B8" w:rsidRDefault="00754203" w:rsidP="00754203">
      <w:pPr>
        <w:pStyle w:val="ListParagraph"/>
        <w:numPr>
          <w:ilvl w:val="0"/>
          <w:numId w:val="9"/>
        </w:numPr>
        <w:rPr>
          <w:rFonts w:ascii="Arial" w:hAnsi="Arial" w:cs="Arial"/>
        </w:rPr>
      </w:pPr>
      <w:r w:rsidRPr="007019B8">
        <w:rPr>
          <w:rFonts w:ascii="Arial" w:hAnsi="Arial" w:cs="Arial"/>
        </w:rPr>
        <w:t xml:space="preserve">Spontaneous, or secondary to injury or </w:t>
      </w:r>
      <w:proofErr w:type="gramStart"/>
      <w:r w:rsidRPr="007019B8">
        <w:rPr>
          <w:rFonts w:ascii="Arial" w:hAnsi="Arial" w:cs="Arial"/>
        </w:rPr>
        <w:t>other</w:t>
      </w:r>
      <w:proofErr w:type="gramEnd"/>
      <w:r w:rsidRPr="007019B8">
        <w:rPr>
          <w:rFonts w:ascii="Arial" w:hAnsi="Arial" w:cs="Arial"/>
        </w:rPr>
        <w:t xml:space="preserve"> provoking factor</w:t>
      </w:r>
    </w:p>
    <w:p w14:paraId="691B698A" w14:textId="77777777" w:rsidR="00754203" w:rsidRPr="007019B8" w:rsidRDefault="00754203" w:rsidP="00754203">
      <w:pPr>
        <w:pStyle w:val="ListParagraph"/>
        <w:numPr>
          <w:ilvl w:val="0"/>
          <w:numId w:val="9"/>
        </w:numPr>
        <w:rPr>
          <w:rFonts w:ascii="Arial" w:hAnsi="Arial" w:cs="Arial"/>
        </w:rPr>
      </w:pPr>
      <w:r w:rsidRPr="007019B8">
        <w:rPr>
          <w:rFonts w:ascii="Arial" w:hAnsi="Arial" w:cs="Arial"/>
        </w:rPr>
        <w:t xml:space="preserve">Vital signs </w:t>
      </w:r>
    </w:p>
    <w:p w14:paraId="5BACBD28" w14:textId="77777777" w:rsidR="00754203" w:rsidRPr="007019B8" w:rsidRDefault="00754203" w:rsidP="00754203">
      <w:pPr>
        <w:pStyle w:val="ListParagraph"/>
        <w:numPr>
          <w:ilvl w:val="1"/>
          <w:numId w:val="9"/>
        </w:numPr>
        <w:rPr>
          <w:rFonts w:ascii="Arial" w:hAnsi="Arial" w:cs="Arial"/>
        </w:rPr>
      </w:pPr>
      <w:r>
        <w:rPr>
          <w:rFonts w:ascii="Arial" w:hAnsi="Arial" w:cs="Arial"/>
        </w:rPr>
        <w:t>Lowest s</w:t>
      </w:r>
      <w:r w:rsidRPr="007019B8">
        <w:rPr>
          <w:rFonts w:ascii="Arial" w:hAnsi="Arial" w:cs="Arial"/>
        </w:rPr>
        <w:t xml:space="preserve">ystolic blood pressure </w:t>
      </w:r>
      <w:r>
        <w:rPr>
          <w:rFonts w:ascii="Arial" w:hAnsi="Arial" w:cs="Arial"/>
        </w:rPr>
        <w:t>before administration of reversal agent</w:t>
      </w:r>
    </w:p>
    <w:p w14:paraId="0CE18233" w14:textId="77777777" w:rsidR="00754203" w:rsidRPr="007019B8" w:rsidRDefault="00754203" w:rsidP="00754203">
      <w:pPr>
        <w:pStyle w:val="ListParagraph"/>
        <w:numPr>
          <w:ilvl w:val="1"/>
          <w:numId w:val="9"/>
        </w:numPr>
        <w:rPr>
          <w:rFonts w:ascii="Arial" w:hAnsi="Arial" w:cs="Arial"/>
        </w:rPr>
      </w:pPr>
      <w:r>
        <w:rPr>
          <w:rFonts w:ascii="Arial" w:hAnsi="Arial" w:cs="Arial"/>
        </w:rPr>
        <w:t>H</w:t>
      </w:r>
      <w:r w:rsidRPr="007019B8">
        <w:rPr>
          <w:rFonts w:ascii="Arial" w:hAnsi="Arial" w:cs="Arial"/>
        </w:rPr>
        <w:t xml:space="preserve">ighest heart rate before </w:t>
      </w:r>
      <w:r>
        <w:rPr>
          <w:rFonts w:ascii="Arial" w:hAnsi="Arial" w:cs="Arial"/>
        </w:rPr>
        <w:t xml:space="preserve">administration of </w:t>
      </w:r>
      <w:r w:rsidRPr="007019B8">
        <w:rPr>
          <w:rFonts w:ascii="Arial" w:hAnsi="Arial" w:cs="Arial"/>
        </w:rPr>
        <w:t>reversal agent</w:t>
      </w:r>
    </w:p>
    <w:p w14:paraId="424C89C3" w14:textId="77777777" w:rsidR="00754203" w:rsidRPr="007019B8" w:rsidRDefault="00754203" w:rsidP="00754203">
      <w:pPr>
        <w:rPr>
          <w:rFonts w:ascii="Arial" w:hAnsi="Arial" w:cs="Arial"/>
          <w:i/>
          <w:iCs/>
        </w:rPr>
      </w:pPr>
      <w:r w:rsidRPr="007019B8">
        <w:rPr>
          <w:rFonts w:ascii="Arial" w:hAnsi="Arial" w:cs="Arial"/>
          <w:i/>
          <w:iCs/>
        </w:rPr>
        <w:t>Information will be used to categorise bleeding according to defined international criteria (ISTH). Information will also be used to retrospectively calculate Glasgow-Blatchford Bleeding Score and Rockall scores, for upper gastrointestinal haemorrhage or ICH score for intracranial haemorrhage where applicable.</w:t>
      </w:r>
    </w:p>
    <w:p w14:paraId="0D4DD044" w14:textId="77777777" w:rsidR="00754203" w:rsidRDefault="00754203" w:rsidP="00754203">
      <w:pPr>
        <w:rPr>
          <w:rFonts w:ascii="Arial" w:hAnsi="Arial" w:cs="Arial"/>
          <w:b/>
          <w:bCs/>
        </w:rPr>
      </w:pPr>
      <w:r>
        <w:rPr>
          <w:rFonts w:ascii="Arial" w:hAnsi="Arial" w:cs="Arial"/>
          <w:b/>
          <w:bCs/>
        </w:rPr>
        <w:t>Investigations at bleed onset</w:t>
      </w:r>
    </w:p>
    <w:p w14:paraId="7D3B6CAF" w14:textId="77777777" w:rsidR="00754203" w:rsidRPr="00A107D6" w:rsidRDefault="00754203" w:rsidP="00754203">
      <w:pPr>
        <w:pStyle w:val="ListParagraph"/>
        <w:numPr>
          <w:ilvl w:val="0"/>
          <w:numId w:val="21"/>
        </w:numPr>
        <w:rPr>
          <w:rFonts w:ascii="Arial" w:hAnsi="Arial" w:cs="Arial"/>
        </w:rPr>
      </w:pPr>
      <w:r w:rsidRPr="00A107D6">
        <w:rPr>
          <w:rFonts w:ascii="Arial" w:hAnsi="Arial" w:cs="Arial"/>
        </w:rPr>
        <w:t>Haemoglobin</w:t>
      </w:r>
    </w:p>
    <w:p w14:paraId="6BC56750" w14:textId="77777777" w:rsidR="00754203" w:rsidRPr="00A107D6" w:rsidRDefault="00754203" w:rsidP="00754203">
      <w:pPr>
        <w:pStyle w:val="ListParagraph"/>
        <w:numPr>
          <w:ilvl w:val="0"/>
          <w:numId w:val="21"/>
        </w:numPr>
        <w:rPr>
          <w:rFonts w:ascii="Arial" w:hAnsi="Arial" w:cs="Arial"/>
        </w:rPr>
      </w:pPr>
      <w:r w:rsidRPr="00A107D6">
        <w:rPr>
          <w:rFonts w:ascii="Arial" w:hAnsi="Arial" w:cs="Arial"/>
        </w:rPr>
        <w:t xml:space="preserve">Platelets </w:t>
      </w:r>
    </w:p>
    <w:p w14:paraId="0F195E14" w14:textId="77777777" w:rsidR="00754203" w:rsidRPr="00A107D6" w:rsidRDefault="00754203" w:rsidP="00754203">
      <w:pPr>
        <w:pStyle w:val="ListParagraph"/>
        <w:numPr>
          <w:ilvl w:val="0"/>
          <w:numId w:val="21"/>
        </w:numPr>
        <w:rPr>
          <w:rFonts w:ascii="Arial" w:hAnsi="Arial" w:cs="Arial"/>
        </w:rPr>
      </w:pPr>
      <w:r w:rsidRPr="00A107D6">
        <w:rPr>
          <w:rFonts w:ascii="Arial" w:hAnsi="Arial" w:cs="Arial"/>
        </w:rPr>
        <w:t>Creatinine</w:t>
      </w:r>
    </w:p>
    <w:p w14:paraId="5B3ADC09" w14:textId="77777777" w:rsidR="00754203" w:rsidRDefault="00754203" w:rsidP="00754203">
      <w:pPr>
        <w:pStyle w:val="ListParagraph"/>
        <w:numPr>
          <w:ilvl w:val="0"/>
          <w:numId w:val="21"/>
        </w:numPr>
        <w:rPr>
          <w:rFonts w:ascii="Arial" w:hAnsi="Arial" w:cs="Arial"/>
        </w:rPr>
      </w:pPr>
      <w:r w:rsidRPr="00A107D6">
        <w:rPr>
          <w:rFonts w:ascii="Arial" w:hAnsi="Arial" w:cs="Arial"/>
        </w:rPr>
        <w:t>Urea</w:t>
      </w:r>
    </w:p>
    <w:p w14:paraId="1AE4BD4A" w14:textId="1302EC37" w:rsidR="00E043C4" w:rsidRPr="00A107D6" w:rsidRDefault="00E043C4" w:rsidP="00754203">
      <w:pPr>
        <w:pStyle w:val="ListParagraph"/>
        <w:numPr>
          <w:ilvl w:val="0"/>
          <w:numId w:val="21"/>
        </w:numPr>
        <w:rPr>
          <w:rFonts w:ascii="Arial" w:hAnsi="Arial" w:cs="Arial"/>
        </w:rPr>
      </w:pPr>
      <w:r>
        <w:rPr>
          <w:rFonts w:ascii="Arial" w:hAnsi="Arial" w:cs="Arial"/>
        </w:rPr>
        <w:t>DOAC level</w:t>
      </w:r>
    </w:p>
    <w:p w14:paraId="7C183D00" w14:textId="77777777" w:rsidR="00754203" w:rsidRDefault="00754203" w:rsidP="00754203">
      <w:pPr>
        <w:rPr>
          <w:rFonts w:ascii="Arial" w:hAnsi="Arial" w:cs="Arial"/>
          <w:b/>
          <w:bCs/>
        </w:rPr>
      </w:pPr>
      <w:r>
        <w:rPr>
          <w:rFonts w:ascii="Arial" w:hAnsi="Arial" w:cs="Arial"/>
          <w:b/>
          <w:bCs/>
        </w:rPr>
        <w:t>Prior investigations</w:t>
      </w:r>
    </w:p>
    <w:p w14:paraId="48E9333E" w14:textId="77777777" w:rsidR="00754203" w:rsidRPr="00A107D6" w:rsidRDefault="00754203" w:rsidP="00754203">
      <w:pPr>
        <w:pStyle w:val="ListParagraph"/>
        <w:numPr>
          <w:ilvl w:val="0"/>
          <w:numId w:val="20"/>
        </w:numPr>
        <w:rPr>
          <w:rFonts w:ascii="Arial" w:hAnsi="Arial" w:cs="Arial"/>
        </w:rPr>
      </w:pPr>
      <w:r w:rsidRPr="00A107D6">
        <w:rPr>
          <w:rFonts w:ascii="Arial" w:hAnsi="Arial" w:cs="Arial"/>
        </w:rPr>
        <w:t>Haemoglobin in last 12 months</w:t>
      </w:r>
    </w:p>
    <w:p w14:paraId="355FB04F" w14:textId="77777777" w:rsidR="00754203" w:rsidRPr="00A107D6" w:rsidRDefault="00754203" w:rsidP="00754203">
      <w:pPr>
        <w:pStyle w:val="ListParagraph"/>
        <w:numPr>
          <w:ilvl w:val="0"/>
          <w:numId w:val="20"/>
        </w:numPr>
        <w:rPr>
          <w:rFonts w:ascii="Arial" w:hAnsi="Arial" w:cs="Arial"/>
        </w:rPr>
      </w:pPr>
      <w:r w:rsidRPr="00A107D6">
        <w:rPr>
          <w:rFonts w:ascii="Arial" w:hAnsi="Arial" w:cs="Arial"/>
        </w:rPr>
        <w:t>Creatinine level in last 12 months</w:t>
      </w:r>
    </w:p>
    <w:p w14:paraId="32FB97EC" w14:textId="77777777" w:rsidR="00754203" w:rsidRDefault="00754203" w:rsidP="00754203">
      <w:pPr>
        <w:rPr>
          <w:rFonts w:ascii="Arial" w:hAnsi="Arial" w:cs="Arial"/>
          <w:b/>
          <w:bCs/>
        </w:rPr>
      </w:pPr>
      <w:r>
        <w:rPr>
          <w:rFonts w:ascii="Arial" w:hAnsi="Arial" w:cs="Arial"/>
          <w:b/>
          <w:bCs/>
        </w:rPr>
        <w:t xml:space="preserve">Reversal </w:t>
      </w:r>
    </w:p>
    <w:p w14:paraId="79000EAD" w14:textId="77777777" w:rsidR="00754203" w:rsidRPr="00A107D6" w:rsidRDefault="00754203" w:rsidP="00754203">
      <w:pPr>
        <w:pStyle w:val="ListParagraph"/>
        <w:numPr>
          <w:ilvl w:val="0"/>
          <w:numId w:val="19"/>
        </w:numPr>
        <w:rPr>
          <w:rFonts w:ascii="Arial" w:hAnsi="Arial" w:cs="Arial"/>
        </w:rPr>
      </w:pPr>
      <w:r w:rsidRPr="00A107D6">
        <w:rPr>
          <w:rFonts w:ascii="Arial" w:hAnsi="Arial" w:cs="Arial"/>
        </w:rPr>
        <w:t xml:space="preserve">Which reversal agent was </w:t>
      </w:r>
      <w:proofErr w:type="gramStart"/>
      <w:r w:rsidRPr="00A107D6">
        <w:rPr>
          <w:rFonts w:ascii="Arial" w:hAnsi="Arial" w:cs="Arial"/>
        </w:rPr>
        <w:t>used</w:t>
      </w:r>
      <w:proofErr w:type="gramEnd"/>
    </w:p>
    <w:p w14:paraId="123FE9CD" w14:textId="77777777" w:rsidR="00754203" w:rsidRPr="007C1BF8" w:rsidRDefault="00754203" w:rsidP="00754203">
      <w:pPr>
        <w:pStyle w:val="ListParagraph"/>
        <w:numPr>
          <w:ilvl w:val="0"/>
          <w:numId w:val="19"/>
        </w:numPr>
        <w:rPr>
          <w:rFonts w:ascii="Arial" w:hAnsi="Arial" w:cs="Arial"/>
        </w:rPr>
      </w:pPr>
      <w:r w:rsidRPr="00A107D6">
        <w:rPr>
          <w:rFonts w:ascii="Arial" w:hAnsi="Arial" w:cs="Arial"/>
        </w:rPr>
        <w:t>Dosing of reversal agent</w:t>
      </w:r>
    </w:p>
    <w:p w14:paraId="38F92721" w14:textId="77777777" w:rsidR="00754203" w:rsidRDefault="00754203" w:rsidP="00754203">
      <w:pPr>
        <w:rPr>
          <w:rFonts w:ascii="Arial" w:hAnsi="Arial" w:cs="Arial"/>
          <w:b/>
          <w:bCs/>
        </w:rPr>
      </w:pPr>
      <w:r w:rsidRPr="007C1BF8">
        <w:rPr>
          <w:rFonts w:ascii="Arial" w:hAnsi="Arial" w:cs="Arial"/>
          <w:b/>
          <w:bCs/>
        </w:rPr>
        <w:t>Tranexamic acid</w:t>
      </w:r>
    </w:p>
    <w:p w14:paraId="495EE5AB" w14:textId="77777777" w:rsidR="00754203" w:rsidRPr="007C1BF8" w:rsidRDefault="00754203" w:rsidP="00754203">
      <w:pPr>
        <w:pStyle w:val="ListParagraph"/>
        <w:numPr>
          <w:ilvl w:val="0"/>
          <w:numId w:val="24"/>
        </w:numPr>
        <w:rPr>
          <w:rFonts w:ascii="Arial" w:hAnsi="Arial" w:cs="Arial"/>
          <w:b/>
          <w:bCs/>
        </w:rPr>
      </w:pPr>
      <w:r>
        <w:rPr>
          <w:rFonts w:ascii="Arial" w:hAnsi="Arial" w:cs="Arial"/>
        </w:rPr>
        <w:t>Was tranexamic acid given?</w:t>
      </w:r>
    </w:p>
    <w:p w14:paraId="589DB24D" w14:textId="77777777" w:rsidR="00754203" w:rsidRDefault="00754203" w:rsidP="00754203">
      <w:pPr>
        <w:rPr>
          <w:rFonts w:ascii="Arial" w:hAnsi="Arial" w:cs="Arial"/>
          <w:b/>
          <w:bCs/>
        </w:rPr>
      </w:pPr>
      <w:r>
        <w:rPr>
          <w:rFonts w:ascii="Arial" w:hAnsi="Arial" w:cs="Arial"/>
          <w:b/>
          <w:bCs/>
        </w:rPr>
        <w:t>Transfusions</w:t>
      </w:r>
    </w:p>
    <w:p w14:paraId="34CE245E" w14:textId="77777777" w:rsidR="00754203" w:rsidRDefault="00754203" w:rsidP="00754203">
      <w:pPr>
        <w:pStyle w:val="ListParagraph"/>
        <w:numPr>
          <w:ilvl w:val="0"/>
          <w:numId w:val="22"/>
        </w:numPr>
        <w:rPr>
          <w:rFonts w:ascii="Arial" w:hAnsi="Arial" w:cs="Arial"/>
        </w:rPr>
      </w:pPr>
      <w:r w:rsidRPr="00E73B61">
        <w:rPr>
          <w:rFonts w:ascii="Arial" w:hAnsi="Arial" w:cs="Arial"/>
        </w:rPr>
        <w:t xml:space="preserve">Were red cells transfused prior to </w:t>
      </w:r>
      <w:r>
        <w:rPr>
          <w:rFonts w:ascii="Arial" w:hAnsi="Arial" w:cs="Arial"/>
        </w:rPr>
        <w:t xml:space="preserve">administration of </w:t>
      </w:r>
      <w:r w:rsidRPr="00E73B61">
        <w:rPr>
          <w:rFonts w:ascii="Arial" w:hAnsi="Arial" w:cs="Arial"/>
        </w:rPr>
        <w:t>reversal agent</w:t>
      </w:r>
      <w:r>
        <w:rPr>
          <w:rFonts w:ascii="Arial" w:hAnsi="Arial" w:cs="Arial"/>
        </w:rPr>
        <w:t>?</w:t>
      </w:r>
    </w:p>
    <w:p w14:paraId="6355EF4E" w14:textId="77777777" w:rsidR="00754203" w:rsidRDefault="00754203" w:rsidP="00754203">
      <w:pPr>
        <w:pStyle w:val="ListParagraph"/>
        <w:numPr>
          <w:ilvl w:val="1"/>
          <w:numId w:val="22"/>
        </w:numPr>
        <w:rPr>
          <w:rFonts w:ascii="Arial" w:hAnsi="Arial" w:cs="Arial"/>
        </w:rPr>
      </w:pPr>
      <w:r>
        <w:rPr>
          <w:rFonts w:ascii="Arial" w:hAnsi="Arial" w:cs="Arial"/>
        </w:rPr>
        <w:t>How many units?</w:t>
      </w:r>
    </w:p>
    <w:p w14:paraId="72CA7646" w14:textId="77777777" w:rsidR="00754203" w:rsidRDefault="00754203" w:rsidP="00754203">
      <w:pPr>
        <w:pStyle w:val="ListParagraph"/>
        <w:numPr>
          <w:ilvl w:val="0"/>
          <w:numId w:val="22"/>
        </w:numPr>
        <w:rPr>
          <w:rFonts w:ascii="Arial" w:hAnsi="Arial" w:cs="Arial"/>
        </w:rPr>
      </w:pPr>
      <w:r>
        <w:rPr>
          <w:rFonts w:ascii="Arial" w:hAnsi="Arial" w:cs="Arial"/>
        </w:rPr>
        <w:t>Were red cells transfused after administration of reversal agent?</w:t>
      </w:r>
    </w:p>
    <w:p w14:paraId="5C284DB2" w14:textId="77777777" w:rsidR="00754203" w:rsidRPr="00E73B61" w:rsidRDefault="00754203" w:rsidP="00754203">
      <w:pPr>
        <w:pStyle w:val="ListParagraph"/>
        <w:numPr>
          <w:ilvl w:val="1"/>
          <w:numId w:val="22"/>
        </w:numPr>
        <w:rPr>
          <w:rFonts w:ascii="Arial" w:hAnsi="Arial" w:cs="Arial"/>
        </w:rPr>
      </w:pPr>
      <w:r>
        <w:rPr>
          <w:rFonts w:ascii="Arial" w:hAnsi="Arial" w:cs="Arial"/>
        </w:rPr>
        <w:t>How many units?</w:t>
      </w:r>
    </w:p>
    <w:p w14:paraId="11397FA8" w14:textId="77777777" w:rsidR="00754203" w:rsidRDefault="00754203" w:rsidP="00754203">
      <w:pPr>
        <w:pStyle w:val="ListParagraph"/>
        <w:numPr>
          <w:ilvl w:val="0"/>
          <w:numId w:val="22"/>
        </w:numPr>
        <w:rPr>
          <w:rFonts w:ascii="Arial" w:hAnsi="Arial" w:cs="Arial"/>
        </w:rPr>
      </w:pPr>
      <w:r>
        <w:rPr>
          <w:rFonts w:ascii="Arial" w:hAnsi="Arial" w:cs="Arial"/>
        </w:rPr>
        <w:t>Was FFP</w:t>
      </w:r>
      <w:r w:rsidRPr="00E73B61">
        <w:rPr>
          <w:rFonts w:ascii="Arial" w:hAnsi="Arial" w:cs="Arial"/>
        </w:rPr>
        <w:t xml:space="preserve"> transfused prior to </w:t>
      </w:r>
      <w:r>
        <w:rPr>
          <w:rFonts w:ascii="Arial" w:hAnsi="Arial" w:cs="Arial"/>
        </w:rPr>
        <w:t xml:space="preserve">administration of </w:t>
      </w:r>
      <w:r w:rsidRPr="00E73B61">
        <w:rPr>
          <w:rFonts w:ascii="Arial" w:hAnsi="Arial" w:cs="Arial"/>
        </w:rPr>
        <w:t>reversal agent</w:t>
      </w:r>
      <w:r>
        <w:rPr>
          <w:rFonts w:ascii="Arial" w:hAnsi="Arial" w:cs="Arial"/>
        </w:rPr>
        <w:t>?</w:t>
      </w:r>
    </w:p>
    <w:p w14:paraId="65E30946" w14:textId="77777777" w:rsidR="00754203" w:rsidRDefault="00754203" w:rsidP="00754203">
      <w:pPr>
        <w:pStyle w:val="ListParagraph"/>
        <w:numPr>
          <w:ilvl w:val="1"/>
          <w:numId w:val="22"/>
        </w:numPr>
        <w:rPr>
          <w:rFonts w:ascii="Arial" w:hAnsi="Arial" w:cs="Arial"/>
        </w:rPr>
      </w:pPr>
      <w:r>
        <w:rPr>
          <w:rFonts w:ascii="Arial" w:hAnsi="Arial" w:cs="Arial"/>
        </w:rPr>
        <w:t>How many units?</w:t>
      </w:r>
    </w:p>
    <w:p w14:paraId="51E7B9F1" w14:textId="77777777" w:rsidR="00754203" w:rsidRDefault="00754203" w:rsidP="00754203">
      <w:pPr>
        <w:pStyle w:val="ListParagraph"/>
        <w:numPr>
          <w:ilvl w:val="0"/>
          <w:numId w:val="22"/>
        </w:numPr>
        <w:rPr>
          <w:rFonts w:ascii="Arial" w:hAnsi="Arial" w:cs="Arial"/>
        </w:rPr>
      </w:pPr>
      <w:r>
        <w:rPr>
          <w:rFonts w:ascii="Arial" w:hAnsi="Arial" w:cs="Arial"/>
        </w:rPr>
        <w:t>Was FFP transfused after administration of reversal agent?</w:t>
      </w:r>
    </w:p>
    <w:p w14:paraId="41D52187" w14:textId="77777777" w:rsidR="00754203" w:rsidRDefault="00754203" w:rsidP="00754203">
      <w:pPr>
        <w:pStyle w:val="ListParagraph"/>
        <w:numPr>
          <w:ilvl w:val="1"/>
          <w:numId w:val="22"/>
        </w:numPr>
        <w:rPr>
          <w:rFonts w:ascii="Arial" w:hAnsi="Arial" w:cs="Arial"/>
        </w:rPr>
      </w:pPr>
      <w:r>
        <w:rPr>
          <w:rFonts w:ascii="Arial" w:hAnsi="Arial" w:cs="Arial"/>
        </w:rPr>
        <w:t>How many units?</w:t>
      </w:r>
    </w:p>
    <w:p w14:paraId="2873FCC1" w14:textId="77777777" w:rsidR="00754203" w:rsidRDefault="00754203" w:rsidP="00754203">
      <w:pPr>
        <w:pStyle w:val="ListParagraph"/>
        <w:numPr>
          <w:ilvl w:val="0"/>
          <w:numId w:val="22"/>
        </w:numPr>
        <w:rPr>
          <w:rFonts w:ascii="Arial" w:hAnsi="Arial" w:cs="Arial"/>
        </w:rPr>
      </w:pPr>
      <w:r>
        <w:rPr>
          <w:rFonts w:ascii="Arial" w:hAnsi="Arial" w:cs="Arial"/>
        </w:rPr>
        <w:t xml:space="preserve">Were platelets </w:t>
      </w:r>
      <w:r w:rsidRPr="00E73B61">
        <w:rPr>
          <w:rFonts w:ascii="Arial" w:hAnsi="Arial" w:cs="Arial"/>
        </w:rPr>
        <w:t xml:space="preserve">transfused prior to </w:t>
      </w:r>
      <w:r>
        <w:rPr>
          <w:rFonts w:ascii="Arial" w:hAnsi="Arial" w:cs="Arial"/>
        </w:rPr>
        <w:t xml:space="preserve">administration of </w:t>
      </w:r>
      <w:r w:rsidRPr="00E73B61">
        <w:rPr>
          <w:rFonts w:ascii="Arial" w:hAnsi="Arial" w:cs="Arial"/>
        </w:rPr>
        <w:t>reversal agent</w:t>
      </w:r>
      <w:r>
        <w:rPr>
          <w:rFonts w:ascii="Arial" w:hAnsi="Arial" w:cs="Arial"/>
        </w:rPr>
        <w:t>?</w:t>
      </w:r>
    </w:p>
    <w:p w14:paraId="04B4413F" w14:textId="77777777" w:rsidR="00754203" w:rsidRDefault="00754203" w:rsidP="00754203">
      <w:pPr>
        <w:pStyle w:val="ListParagraph"/>
        <w:numPr>
          <w:ilvl w:val="1"/>
          <w:numId w:val="22"/>
        </w:numPr>
        <w:rPr>
          <w:rFonts w:ascii="Arial" w:hAnsi="Arial" w:cs="Arial"/>
        </w:rPr>
      </w:pPr>
      <w:r>
        <w:rPr>
          <w:rFonts w:ascii="Arial" w:hAnsi="Arial" w:cs="Arial"/>
        </w:rPr>
        <w:t>How many units?</w:t>
      </w:r>
    </w:p>
    <w:p w14:paraId="1237CC28" w14:textId="77777777" w:rsidR="00754203" w:rsidRDefault="00754203" w:rsidP="00754203">
      <w:pPr>
        <w:pStyle w:val="ListParagraph"/>
        <w:numPr>
          <w:ilvl w:val="0"/>
          <w:numId w:val="22"/>
        </w:numPr>
        <w:rPr>
          <w:rFonts w:ascii="Arial" w:hAnsi="Arial" w:cs="Arial"/>
        </w:rPr>
      </w:pPr>
      <w:r>
        <w:rPr>
          <w:rFonts w:ascii="Arial" w:hAnsi="Arial" w:cs="Arial"/>
        </w:rPr>
        <w:lastRenderedPageBreak/>
        <w:t>Were platelets transfused after administration of reversal agent?</w:t>
      </w:r>
    </w:p>
    <w:p w14:paraId="6A5B9826" w14:textId="78E132D6" w:rsidR="00754203" w:rsidRPr="005B7935" w:rsidRDefault="00754203" w:rsidP="00754203">
      <w:pPr>
        <w:pStyle w:val="ListParagraph"/>
        <w:numPr>
          <w:ilvl w:val="1"/>
          <w:numId w:val="22"/>
        </w:numPr>
        <w:rPr>
          <w:rFonts w:ascii="Arial" w:hAnsi="Arial" w:cs="Arial"/>
        </w:rPr>
      </w:pPr>
      <w:r>
        <w:rPr>
          <w:rFonts w:ascii="Arial" w:hAnsi="Arial" w:cs="Arial"/>
        </w:rPr>
        <w:t>How many units?</w:t>
      </w:r>
    </w:p>
    <w:p w14:paraId="56E8C79D" w14:textId="77777777" w:rsidR="00754203" w:rsidRDefault="00754203" w:rsidP="00754203">
      <w:pPr>
        <w:rPr>
          <w:rFonts w:ascii="Arial" w:hAnsi="Arial" w:cs="Arial"/>
        </w:rPr>
      </w:pPr>
      <w:r w:rsidRPr="007C05C5">
        <w:rPr>
          <w:rFonts w:ascii="Arial" w:hAnsi="Arial" w:cs="Arial"/>
        </w:rPr>
        <w:t>Was there any loss of consciousness, collapse, or syncope at any time preceding or up to 4 hours following administration of the reversal agent</w:t>
      </w:r>
      <w:r>
        <w:rPr>
          <w:rFonts w:ascii="Arial" w:hAnsi="Arial" w:cs="Arial"/>
        </w:rPr>
        <w:t>?</w:t>
      </w:r>
    </w:p>
    <w:p w14:paraId="3B3EC739" w14:textId="77777777" w:rsidR="00754203" w:rsidRPr="00161C19" w:rsidRDefault="00754203" w:rsidP="00754203">
      <w:pPr>
        <w:rPr>
          <w:rFonts w:ascii="Arial" w:hAnsi="Arial" w:cs="Arial"/>
          <w:b/>
          <w:bCs/>
        </w:rPr>
      </w:pPr>
      <w:r>
        <w:rPr>
          <w:rFonts w:ascii="Arial" w:hAnsi="Arial" w:cs="Arial"/>
          <w:b/>
          <w:bCs/>
        </w:rPr>
        <w:t>Surgery / procedures</w:t>
      </w:r>
    </w:p>
    <w:p w14:paraId="726DB2D7" w14:textId="77777777" w:rsidR="00754203" w:rsidRDefault="00754203" w:rsidP="00754203">
      <w:pPr>
        <w:pStyle w:val="ListParagraph"/>
        <w:numPr>
          <w:ilvl w:val="0"/>
          <w:numId w:val="23"/>
        </w:numPr>
        <w:rPr>
          <w:rFonts w:ascii="Arial" w:hAnsi="Arial" w:cs="Arial"/>
        </w:rPr>
      </w:pPr>
      <w:r w:rsidRPr="00161C19">
        <w:rPr>
          <w:rFonts w:ascii="Arial" w:hAnsi="Arial" w:cs="Arial"/>
        </w:rPr>
        <w:t>Was surgery or a procedure planned or performed as part of the management of this bleeding episode?</w:t>
      </w:r>
    </w:p>
    <w:p w14:paraId="7572D9D7" w14:textId="77777777" w:rsidR="00754203" w:rsidRDefault="00754203" w:rsidP="00754203">
      <w:pPr>
        <w:pStyle w:val="ListParagraph"/>
        <w:numPr>
          <w:ilvl w:val="1"/>
          <w:numId w:val="23"/>
        </w:numPr>
        <w:rPr>
          <w:rFonts w:ascii="Arial" w:hAnsi="Arial" w:cs="Arial"/>
        </w:rPr>
      </w:pPr>
      <w:r>
        <w:rPr>
          <w:rFonts w:ascii="Arial" w:hAnsi="Arial" w:cs="Arial"/>
        </w:rPr>
        <w:t>Was this performed?</w:t>
      </w:r>
    </w:p>
    <w:p w14:paraId="521BF122" w14:textId="77777777" w:rsidR="00754203" w:rsidRPr="00840D91" w:rsidRDefault="00754203" w:rsidP="00754203">
      <w:pPr>
        <w:pStyle w:val="ListParagraph"/>
        <w:numPr>
          <w:ilvl w:val="1"/>
          <w:numId w:val="23"/>
        </w:numPr>
        <w:rPr>
          <w:rFonts w:ascii="Arial" w:hAnsi="Arial" w:cs="Arial"/>
        </w:rPr>
      </w:pPr>
      <w:r>
        <w:rPr>
          <w:rFonts w:ascii="Arial" w:hAnsi="Arial" w:cs="Arial"/>
        </w:rPr>
        <w:t>How many hours after administration of the reversal agent was this procedure performed?</w:t>
      </w:r>
    </w:p>
    <w:p w14:paraId="14FE9213" w14:textId="77777777" w:rsidR="00754203" w:rsidRPr="007019B8" w:rsidRDefault="00754203" w:rsidP="00754203">
      <w:pPr>
        <w:rPr>
          <w:rFonts w:ascii="Arial" w:hAnsi="Arial" w:cs="Arial"/>
          <w:b/>
          <w:bCs/>
        </w:rPr>
      </w:pPr>
      <w:r w:rsidRPr="007019B8">
        <w:rPr>
          <w:rFonts w:ascii="Arial" w:hAnsi="Arial" w:cs="Arial"/>
          <w:b/>
          <w:bCs/>
        </w:rPr>
        <w:t>Follow-up blood tests</w:t>
      </w:r>
    </w:p>
    <w:p w14:paraId="0536ABE3" w14:textId="77777777" w:rsidR="00754203" w:rsidRPr="007019B8" w:rsidRDefault="00754203" w:rsidP="00754203">
      <w:pPr>
        <w:pStyle w:val="ListParagraph"/>
        <w:numPr>
          <w:ilvl w:val="0"/>
          <w:numId w:val="10"/>
        </w:numPr>
        <w:rPr>
          <w:rFonts w:ascii="Arial" w:hAnsi="Arial" w:cs="Arial"/>
        </w:rPr>
      </w:pPr>
      <w:r w:rsidRPr="007019B8">
        <w:rPr>
          <w:rFonts w:ascii="Arial" w:hAnsi="Arial" w:cs="Arial"/>
        </w:rPr>
        <w:t>Hb at ~24h following administration of reversal agent</w:t>
      </w:r>
    </w:p>
    <w:p w14:paraId="1D6CD3CC" w14:textId="77777777" w:rsidR="00754203" w:rsidRPr="007019B8" w:rsidRDefault="00754203" w:rsidP="00754203">
      <w:pPr>
        <w:pStyle w:val="ListParagraph"/>
        <w:numPr>
          <w:ilvl w:val="1"/>
          <w:numId w:val="10"/>
        </w:numPr>
        <w:rPr>
          <w:rFonts w:ascii="Arial" w:hAnsi="Arial" w:cs="Arial"/>
        </w:rPr>
      </w:pPr>
      <w:r w:rsidRPr="007019B8">
        <w:rPr>
          <w:rFonts w:ascii="Arial" w:hAnsi="Arial" w:cs="Arial"/>
        </w:rPr>
        <w:t xml:space="preserve">Leave blank if no Hb performed between </w:t>
      </w:r>
      <w:proofErr w:type="gramStart"/>
      <w:r w:rsidRPr="007019B8">
        <w:rPr>
          <w:rFonts w:ascii="Arial" w:hAnsi="Arial" w:cs="Arial"/>
        </w:rPr>
        <w:t>24 and 48 hours</w:t>
      </w:r>
      <w:proofErr w:type="gramEnd"/>
      <w:r w:rsidRPr="007019B8">
        <w:rPr>
          <w:rFonts w:ascii="Arial" w:hAnsi="Arial" w:cs="Arial"/>
        </w:rPr>
        <w:t xml:space="preserve"> post-administration of reversal agent</w:t>
      </w:r>
    </w:p>
    <w:p w14:paraId="7305F2A7" w14:textId="77777777" w:rsidR="00754203" w:rsidRDefault="00754203" w:rsidP="00754203">
      <w:pPr>
        <w:rPr>
          <w:rFonts w:ascii="Arial" w:hAnsi="Arial" w:cs="Arial"/>
          <w:b/>
          <w:bCs/>
        </w:rPr>
      </w:pPr>
      <w:r>
        <w:rPr>
          <w:rFonts w:ascii="Arial" w:hAnsi="Arial" w:cs="Arial"/>
          <w:b/>
          <w:bCs/>
        </w:rPr>
        <w:t>Follow-up</w:t>
      </w:r>
    </w:p>
    <w:p w14:paraId="463ADDB0" w14:textId="77777777" w:rsidR="00754203" w:rsidRDefault="00754203" w:rsidP="00754203">
      <w:pPr>
        <w:ind w:firstLine="360"/>
        <w:rPr>
          <w:rFonts w:ascii="Arial" w:hAnsi="Arial" w:cs="Arial"/>
          <w:b/>
          <w:bCs/>
          <w:i/>
          <w:iCs/>
        </w:rPr>
      </w:pPr>
      <w:r>
        <w:rPr>
          <w:rFonts w:ascii="Arial" w:hAnsi="Arial" w:cs="Arial"/>
          <w:b/>
          <w:bCs/>
          <w:i/>
          <w:iCs/>
        </w:rPr>
        <w:t>Intracranial bleeding only</w:t>
      </w:r>
    </w:p>
    <w:p w14:paraId="5B578DDD" w14:textId="77777777" w:rsidR="00754203" w:rsidRPr="000A569A" w:rsidRDefault="00754203" w:rsidP="00754203">
      <w:pPr>
        <w:pStyle w:val="ListParagraph"/>
        <w:numPr>
          <w:ilvl w:val="0"/>
          <w:numId w:val="10"/>
        </w:numPr>
        <w:rPr>
          <w:rFonts w:ascii="Arial" w:hAnsi="Arial" w:cs="Arial"/>
          <w:b/>
          <w:bCs/>
        </w:rPr>
      </w:pPr>
      <w:r>
        <w:rPr>
          <w:rFonts w:ascii="Arial" w:hAnsi="Arial" w:cs="Arial"/>
        </w:rPr>
        <w:t>Was any further neuroimaging performed 6-24 hours after administration of the reversal agent?</w:t>
      </w:r>
    </w:p>
    <w:p w14:paraId="48EA4AD3" w14:textId="77777777" w:rsidR="00754203" w:rsidRPr="00DA4D9D" w:rsidRDefault="00754203" w:rsidP="00754203">
      <w:pPr>
        <w:pStyle w:val="ListParagraph"/>
        <w:numPr>
          <w:ilvl w:val="1"/>
          <w:numId w:val="10"/>
        </w:numPr>
        <w:rPr>
          <w:rFonts w:ascii="Arial" w:hAnsi="Arial" w:cs="Arial"/>
          <w:b/>
          <w:bCs/>
        </w:rPr>
      </w:pPr>
      <w:r>
        <w:rPr>
          <w:rFonts w:ascii="Arial" w:hAnsi="Arial" w:cs="Arial"/>
        </w:rPr>
        <w:t>How many hours after?</w:t>
      </w:r>
    </w:p>
    <w:p w14:paraId="5F455DF0" w14:textId="77777777" w:rsidR="00754203" w:rsidRPr="00DA4D9D" w:rsidRDefault="00754203" w:rsidP="00754203">
      <w:pPr>
        <w:pStyle w:val="ListParagraph"/>
        <w:numPr>
          <w:ilvl w:val="1"/>
          <w:numId w:val="10"/>
        </w:numPr>
        <w:rPr>
          <w:rFonts w:ascii="Arial" w:hAnsi="Arial" w:cs="Arial"/>
          <w:b/>
          <w:bCs/>
        </w:rPr>
      </w:pPr>
      <w:r>
        <w:rPr>
          <w:rFonts w:ascii="Arial" w:hAnsi="Arial" w:cs="Arial"/>
        </w:rPr>
        <w:t>Status of haematoma (stable, expanding)</w:t>
      </w:r>
    </w:p>
    <w:p w14:paraId="03319F80" w14:textId="77777777" w:rsidR="00754203" w:rsidRPr="00DA4D9D" w:rsidRDefault="00754203" w:rsidP="00754203">
      <w:pPr>
        <w:pStyle w:val="ListParagraph"/>
        <w:numPr>
          <w:ilvl w:val="0"/>
          <w:numId w:val="10"/>
        </w:numPr>
        <w:rPr>
          <w:rFonts w:ascii="Arial" w:hAnsi="Arial" w:cs="Arial"/>
          <w:b/>
          <w:bCs/>
        </w:rPr>
      </w:pPr>
      <w:r>
        <w:rPr>
          <w:rFonts w:ascii="Arial" w:hAnsi="Arial" w:cs="Arial"/>
        </w:rPr>
        <w:t>What was GCS 6-24 hours after administration of the reversal agent?</w:t>
      </w:r>
    </w:p>
    <w:p w14:paraId="21C0A6C7" w14:textId="77777777" w:rsidR="00754203" w:rsidRPr="00E1390B" w:rsidRDefault="00754203" w:rsidP="00754203">
      <w:pPr>
        <w:pStyle w:val="ListParagraph"/>
        <w:numPr>
          <w:ilvl w:val="0"/>
          <w:numId w:val="10"/>
        </w:numPr>
        <w:rPr>
          <w:rFonts w:ascii="Arial" w:hAnsi="Arial" w:cs="Arial"/>
          <w:b/>
          <w:bCs/>
        </w:rPr>
      </w:pPr>
      <w:r>
        <w:rPr>
          <w:rFonts w:ascii="Arial" w:hAnsi="Arial" w:cs="Arial"/>
        </w:rPr>
        <w:t>Was there any functional neurological deterioration at discharge or day +30 whichever is sooner?</w:t>
      </w:r>
    </w:p>
    <w:p w14:paraId="76CAD963" w14:textId="77777777" w:rsidR="00754203" w:rsidRPr="002B2E37" w:rsidRDefault="00754203" w:rsidP="00754203">
      <w:pPr>
        <w:rPr>
          <w:rFonts w:ascii="Arial" w:hAnsi="Arial" w:cs="Arial"/>
          <w:b/>
          <w:bCs/>
        </w:rPr>
      </w:pPr>
      <w:r w:rsidRPr="002B2E37">
        <w:rPr>
          <w:rFonts w:ascii="Arial" w:hAnsi="Arial" w:cs="Arial"/>
          <w:b/>
          <w:bCs/>
        </w:rPr>
        <w:t>Resumption of anticoagulation</w:t>
      </w:r>
    </w:p>
    <w:p w14:paraId="5F02AB8A" w14:textId="77777777" w:rsidR="00754203" w:rsidRDefault="00754203" w:rsidP="00754203">
      <w:pPr>
        <w:pStyle w:val="ListParagraph"/>
        <w:numPr>
          <w:ilvl w:val="0"/>
          <w:numId w:val="10"/>
        </w:numPr>
        <w:rPr>
          <w:rFonts w:ascii="Arial" w:hAnsi="Arial" w:cs="Arial"/>
        </w:rPr>
      </w:pPr>
      <w:r>
        <w:rPr>
          <w:rFonts w:ascii="Arial" w:hAnsi="Arial" w:cs="Arial"/>
        </w:rPr>
        <w:t>Was anticoagulation planned to restart in the 90 days following administration of the reversal agent?</w:t>
      </w:r>
    </w:p>
    <w:p w14:paraId="047BC1A6" w14:textId="77777777" w:rsidR="00754203" w:rsidRPr="007019B8" w:rsidRDefault="00754203" w:rsidP="00754203">
      <w:pPr>
        <w:pStyle w:val="ListParagraph"/>
        <w:numPr>
          <w:ilvl w:val="1"/>
          <w:numId w:val="10"/>
        </w:numPr>
        <w:rPr>
          <w:rFonts w:ascii="Arial" w:hAnsi="Arial" w:cs="Arial"/>
        </w:rPr>
      </w:pPr>
      <w:r>
        <w:rPr>
          <w:rFonts w:ascii="Arial" w:hAnsi="Arial" w:cs="Arial"/>
        </w:rPr>
        <w:t>How many days was planned?</w:t>
      </w:r>
    </w:p>
    <w:p w14:paraId="1AC0C217" w14:textId="77777777" w:rsidR="00754203" w:rsidRPr="007019B8" w:rsidRDefault="00754203" w:rsidP="00754203">
      <w:pPr>
        <w:pStyle w:val="ListParagraph"/>
        <w:numPr>
          <w:ilvl w:val="0"/>
          <w:numId w:val="10"/>
        </w:numPr>
        <w:rPr>
          <w:rFonts w:ascii="Arial" w:hAnsi="Arial" w:cs="Arial"/>
        </w:rPr>
      </w:pPr>
      <w:r w:rsidRPr="007019B8">
        <w:rPr>
          <w:rFonts w:ascii="Arial" w:hAnsi="Arial" w:cs="Arial"/>
        </w:rPr>
        <w:t xml:space="preserve">Was anticoagulation restarted within 90 days or was there documentation of a plan to restart? </w:t>
      </w:r>
    </w:p>
    <w:p w14:paraId="6FE2BC74" w14:textId="77777777" w:rsidR="00754203" w:rsidRDefault="00754203" w:rsidP="00754203">
      <w:pPr>
        <w:pStyle w:val="ListParagraph"/>
        <w:numPr>
          <w:ilvl w:val="1"/>
          <w:numId w:val="10"/>
        </w:numPr>
        <w:rPr>
          <w:rFonts w:ascii="Arial" w:hAnsi="Arial" w:cs="Arial"/>
        </w:rPr>
      </w:pPr>
      <w:r w:rsidRPr="007019B8">
        <w:rPr>
          <w:rFonts w:ascii="Arial" w:hAnsi="Arial" w:cs="Arial"/>
        </w:rPr>
        <w:t>If so, when?</w:t>
      </w:r>
    </w:p>
    <w:p w14:paraId="68648EA5" w14:textId="77777777" w:rsidR="00754203" w:rsidRPr="00CB29F1" w:rsidRDefault="00754203" w:rsidP="00754203">
      <w:pPr>
        <w:rPr>
          <w:rFonts w:ascii="Arial" w:hAnsi="Arial" w:cs="Arial"/>
          <w:b/>
          <w:bCs/>
        </w:rPr>
      </w:pPr>
      <w:r w:rsidRPr="00CB29F1">
        <w:rPr>
          <w:rFonts w:ascii="Arial" w:hAnsi="Arial" w:cs="Arial"/>
          <w:b/>
          <w:bCs/>
        </w:rPr>
        <w:t>Incidence of thrombosis</w:t>
      </w:r>
    </w:p>
    <w:p w14:paraId="74C14E58" w14:textId="77777777" w:rsidR="00754203" w:rsidRPr="007019B8" w:rsidRDefault="00754203" w:rsidP="00754203">
      <w:pPr>
        <w:pStyle w:val="ListParagraph"/>
        <w:numPr>
          <w:ilvl w:val="0"/>
          <w:numId w:val="10"/>
        </w:numPr>
        <w:rPr>
          <w:rFonts w:ascii="Arial" w:hAnsi="Arial" w:cs="Arial"/>
        </w:rPr>
      </w:pPr>
      <w:r w:rsidRPr="007019B8">
        <w:rPr>
          <w:rFonts w:ascii="Arial" w:hAnsi="Arial" w:cs="Arial"/>
        </w:rPr>
        <w:t>Was the patient diagnosed with a thrombotic episode at any point in the following 90 days post-treatment with the reversal agent</w:t>
      </w:r>
    </w:p>
    <w:p w14:paraId="36E77038" w14:textId="77777777" w:rsidR="00754203" w:rsidRPr="007019B8" w:rsidRDefault="00754203" w:rsidP="00754203">
      <w:pPr>
        <w:pStyle w:val="ListParagraph"/>
        <w:numPr>
          <w:ilvl w:val="0"/>
          <w:numId w:val="10"/>
        </w:numPr>
        <w:rPr>
          <w:rFonts w:ascii="Arial" w:hAnsi="Arial" w:cs="Arial"/>
        </w:rPr>
      </w:pPr>
      <w:r w:rsidRPr="007019B8">
        <w:rPr>
          <w:rFonts w:ascii="Arial" w:hAnsi="Arial" w:cs="Arial"/>
        </w:rPr>
        <w:t>If so, details:</w:t>
      </w:r>
    </w:p>
    <w:p w14:paraId="67C8DDB2" w14:textId="77777777" w:rsidR="00754203" w:rsidRPr="007019B8" w:rsidRDefault="00754203" w:rsidP="00754203">
      <w:pPr>
        <w:pStyle w:val="ListParagraph"/>
        <w:numPr>
          <w:ilvl w:val="1"/>
          <w:numId w:val="10"/>
        </w:numPr>
        <w:rPr>
          <w:rFonts w:ascii="Arial" w:hAnsi="Arial" w:cs="Arial"/>
        </w:rPr>
      </w:pPr>
      <w:r w:rsidRPr="007019B8">
        <w:rPr>
          <w:rFonts w:ascii="Arial" w:hAnsi="Arial" w:cs="Arial"/>
        </w:rPr>
        <w:t>Venous / arterial</w:t>
      </w:r>
    </w:p>
    <w:p w14:paraId="1FEDEF33" w14:textId="77777777" w:rsidR="00754203" w:rsidRPr="007019B8" w:rsidRDefault="00754203" w:rsidP="00754203">
      <w:pPr>
        <w:pStyle w:val="ListParagraph"/>
        <w:numPr>
          <w:ilvl w:val="1"/>
          <w:numId w:val="10"/>
        </w:numPr>
        <w:rPr>
          <w:rFonts w:ascii="Arial" w:hAnsi="Arial" w:cs="Arial"/>
        </w:rPr>
      </w:pPr>
      <w:r w:rsidRPr="007019B8">
        <w:rPr>
          <w:rFonts w:ascii="Arial" w:hAnsi="Arial" w:cs="Arial"/>
        </w:rPr>
        <w:t>Site: PE / DVT / Other venous / Stroke / MI / Other arterial</w:t>
      </w:r>
    </w:p>
    <w:p w14:paraId="05FE42D6" w14:textId="77777777" w:rsidR="00754203" w:rsidRDefault="00754203" w:rsidP="00754203">
      <w:pPr>
        <w:pStyle w:val="ListParagraph"/>
        <w:numPr>
          <w:ilvl w:val="0"/>
          <w:numId w:val="10"/>
        </w:numPr>
        <w:rPr>
          <w:rFonts w:ascii="Arial" w:hAnsi="Arial" w:cs="Arial"/>
        </w:rPr>
      </w:pPr>
      <w:r w:rsidRPr="007019B8">
        <w:rPr>
          <w:rFonts w:ascii="Arial" w:hAnsi="Arial" w:cs="Arial"/>
        </w:rPr>
        <w:t>Did patient die in the follow-up period?</w:t>
      </w:r>
    </w:p>
    <w:p w14:paraId="0656ADEA" w14:textId="77777777" w:rsidR="00754203" w:rsidRPr="007019B8" w:rsidRDefault="00754203" w:rsidP="00754203">
      <w:pPr>
        <w:pStyle w:val="ListParagraph"/>
        <w:numPr>
          <w:ilvl w:val="1"/>
          <w:numId w:val="10"/>
        </w:numPr>
        <w:rPr>
          <w:rFonts w:ascii="Arial" w:hAnsi="Arial" w:cs="Arial"/>
        </w:rPr>
      </w:pPr>
      <w:r w:rsidRPr="007019B8">
        <w:rPr>
          <w:rFonts w:ascii="Arial" w:hAnsi="Arial" w:cs="Arial"/>
        </w:rPr>
        <w:t>If so, how many days post-reversal agent did death occur?</w:t>
      </w:r>
    </w:p>
    <w:p w14:paraId="465A96E4" w14:textId="77777777" w:rsidR="00754203" w:rsidRPr="007019B8" w:rsidRDefault="00754203" w:rsidP="00754203">
      <w:pPr>
        <w:rPr>
          <w:rFonts w:ascii="Arial" w:hAnsi="Arial" w:cs="Arial"/>
          <w:b/>
          <w:bCs/>
        </w:rPr>
      </w:pPr>
      <w:r>
        <w:rPr>
          <w:rFonts w:ascii="Arial" w:hAnsi="Arial" w:cs="Arial"/>
          <w:b/>
          <w:bCs/>
        </w:rPr>
        <w:t>Further bleeding episodes</w:t>
      </w:r>
    </w:p>
    <w:p w14:paraId="1C5B7B1A" w14:textId="77777777" w:rsidR="00754203" w:rsidRPr="007019B8" w:rsidRDefault="00754203" w:rsidP="00754203">
      <w:pPr>
        <w:pStyle w:val="ListParagraph"/>
        <w:numPr>
          <w:ilvl w:val="0"/>
          <w:numId w:val="10"/>
        </w:numPr>
        <w:rPr>
          <w:rFonts w:ascii="Arial" w:hAnsi="Arial" w:cs="Arial"/>
        </w:rPr>
      </w:pPr>
      <w:r w:rsidRPr="007019B8">
        <w:rPr>
          <w:rFonts w:ascii="Arial" w:hAnsi="Arial" w:cs="Arial"/>
        </w:rPr>
        <w:t>Any further bleeding episodes requiring more treatment?</w:t>
      </w:r>
    </w:p>
    <w:p w14:paraId="3315B919" w14:textId="77777777" w:rsidR="005B7935" w:rsidRDefault="00754203" w:rsidP="005B7935">
      <w:pPr>
        <w:pStyle w:val="ListParagraph"/>
        <w:numPr>
          <w:ilvl w:val="1"/>
          <w:numId w:val="10"/>
        </w:numPr>
        <w:rPr>
          <w:rFonts w:ascii="Arial" w:hAnsi="Arial" w:cs="Arial"/>
        </w:rPr>
      </w:pPr>
      <w:r w:rsidRPr="007019B8">
        <w:rPr>
          <w:rFonts w:ascii="Arial" w:hAnsi="Arial" w:cs="Arial"/>
        </w:rPr>
        <w:t>To be inputted in the database as a separate episode</w:t>
      </w:r>
    </w:p>
    <w:p w14:paraId="4BE1BC76" w14:textId="460CBD64" w:rsidR="00754203" w:rsidRPr="005B7935" w:rsidRDefault="005B7935" w:rsidP="005B7935">
      <w:pPr>
        <w:spacing w:after="0" w:line="240" w:lineRule="auto"/>
        <w:rPr>
          <w:rFonts w:ascii="Arial" w:hAnsi="Arial" w:cs="Arial"/>
        </w:rPr>
      </w:pPr>
      <w:r>
        <w:rPr>
          <w:rFonts w:ascii="Arial" w:hAnsi="Arial" w:cs="Arial"/>
        </w:rPr>
        <w:br w:type="page"/>
      </w:r>
      <w:r w:rsidR="00754203" w:rsidRPr="005B7935">
        <w:rPr>
          <w:rFonts w:ascii="Arial" w:eastAsiaTheme="majorEastAsia" w:hAnsi="Arial" w:cs="Arial"/>
          <w:b/>
          <w:bCs/>
        </w:rPr>
        <w:lastRenderedPageBreak/>
        <w:t>References</w:t>
      </w:r>
    </w:p>
    <w:p w14:paraId="02E76A7E" w14:textId="77777777" w:rsidR="005B7935" w:rsidRDefault="005B7935" w:rsidP="00754203">
      <w:pPr>
        <w:widowControl w:val="0"/>
        <w:autoSpaceDE w:val="0"/>
        <w:autoSpaceDN w:val="0"/>
        <w:adjustRightInd w:val="0"/>
        <w:spacing w:line="240" w:lineRule="auto"/>
        <w:ind w:left="640" w:hanging="640"/>
        <w:rPr>
          <w:rFonts w:ascii="Arial" w:eastAsiaTheme="majorEastAsia" w:hAnsi="Arial" w:cs="Arial"/>
        </w:rPr>
      </w:pPr>
    </w:p>
    <w:p w14:paraId="2E07D11C" w14:textId="71CA8F46" w:rsidR="00754203" w:rsidRPr="002033FC" w:rsidRDefault="00754203" w:rsidP="00754203">
      <w:pPr>
        <w:widowControl w:val="0"/>
        <w:autoSpaceDE w:val="0"/>
        <w:autoSpaceDN w:val="0"/>
        <w:adjustRightInd w:val="0"/>
        <w:spacing w:line="240" w:lineRule="auto"/>
        <w:ind w:left="640" w:hanging="640"/>
        <w:rPr>
          <w:rFonts w:ascii="Arial" w:hAnsi="Arial" w:cs="Arial"/>
          <w:noProof/>
        </w:rPr>
      </w:pPr>
      <w:r w:rsidRPr="002033FC">
        <w:rPr>
          <w:rFonts w:ascii="Arial" w:eastAsiaTheme="majorEastAsia" w:hAnsi="Arial" w:cs="Arial"/>
        </w:rPr>
        <w:fldChar w:fldCharType="begin" w:fldLock="1"/>
      </w:r>
      <w:r w:rsidRPr="002033FC">
        <w:rPr>
          <w:rFonts w:ascii="Arial" w:eastAsiaTheme="majorEastAsia" w:hAnsi="Arial" w:cs="Arial"/>
        </w:rPr>
        <w:instrText xml:space="preserve">ADDIN Mendeley Bibliography CSL_BIBLIOGRAPHY </w:instrText>
      </w:r>
      <w:r w:rsidRPr="002033FC">
        <w:rPr>
          <w:rFonts w:ascii="Arial" w:eastAsiaTheme="majorEastAsia" w:hAnsi="Arial" w:cs="Arial"/>
        </w:rPr>
        <w:fldChar w:fldCharType="separate"/>
      </w:r>
      <w:r w:rsidRPr="002033FC">
        <w:rPr>
          <w:rFonts w:ascii="Arial" w:hAnsi="Arial" w:cs="Arial"/>
          <w:noProof/>
        </w:rPr>
        <w:t xml:space="preserve">1. </w:t>
      </w:r>
      <w:r w:rsidRPr="002033FC">
        <w:rPr>
          <w:rFonts w:ascii="Arial" w:hAnsi="Arial" w:cs="Arial"/>
          <w:noProof/>
        </w:rPr>
        <w:tab/>
        <w:t xml:space="preserve">Makris M, Van Veen JJ, Tait CR, Mumford AD, Laffan M. Guideline on the management of bleeding in patients on antithrombotic agents. Br J Haematol. 2013;160(1):35–46. </w:t>
      </w:r>
    </w:p>
    <w:p w14:paraId="7CEDFBA1" w14:textId="77777777" w:rsidR="00754203" w:rsidRPr="002033FC" w:rsidRDefault="00754203" w:rsidP="00754203">
      <w:pPr>
        <w:widowControl w:val="0"/>
        <w:autoSpaceDE w:val="0"/>
        <w:autoSpaceDN w:val="0"/>
        <w:adjustRightInd w:val="0"/>
        <w:spacing w:line="240" w:lineRule="auto"/>
        <w:ind w:left="640" w:hanging="640"/>
        <w:rPr>
          <w:rFonts w:ascii="Arial" w:hAnsi="Arial" w:cs="Arial"/>
          <w:noProof/>
        </w:rPr>
      </w:pPr>
      <w:r w:rsidRPr="002033FC">
        <w:rPr>
          <w:rFonts w:ascii="Arial" w:hAnsi="Arial" w:cs="Arial"/>
          <w:noProof/>
        </w:rPr>
        <w:t xml:space="preserve">2. </w:t>
      </w:r>
      <w:r w:rsidRPr="002033FC">
        <w:rPr>
          <w:rFonts w:ascii="Arial" w:hAnsi="Arial" w:cs="Arial"/>
          <w:noProof/>
        </w:rPr>
        <w:tab/>
        <w:t xml:space="preserve">Alikhan R. Addendum to guideline on the management of bleeding in patients on antithrombotic agents. Br J Haematol. 2018; </w:t>
      </w:r>
    </w:p>
    <w:p w14:paraId="50DB553C" w14:textId="77777777" w:rsidR="00754203" w:rsidRPr="002033FC" w:rsidRDefault="00754203" w:rsidP="00754203">
      <w:pPr>
        <w:widowControl w:val="0"/>
        <w:autoSpaceDE w:val="0"/>
        <w:autoSpaceDN w:val="0"/>
        <w:adjustRightInd w:val="0"/>
        <w:spacing w:line="240" w:lineRule="auto"/>
        <w:ind w:left="640" w:hanging="640"/>
        <w:rPr>
          <w:rFonts w:ascii="Arial" w:hAnsi="Arial" w:cs="Arial"/>
          <w:noProof/>
        </w:rPr>
      </w:pPr>
      <w:r w:rsidRPr="002033FC">
        <w:rPr>
          <w:rFonts w:ascii="Arial" w:hAnsi="Arial" w:cs="Arial"/>
          <w:noProof/>
        </w:rPr>
        <w:t xml:space="preserve">3. </w:t>
      </w:r>
      <w:r w:rsidRPr="002033FC">
        <w:rPr>
          <w:rFonts w:ascii="Arial" w:hAnsi="Arial" w:cs="Arial"/>
          <w:noProof/>
        </w:rPr>
        <w:tab/>
        <w:t>Lip GYH, Banerjee A, Boriani G, Chiang C en, Fargo R, Freedman B, et al. Antithrombotic Therapy for Atrial Fibrillation: CHEST Guideline and Expert Panel Report. Chest [Internet]. 2018;154(5):1121–201. Available from: https://doi.org/10.1016/j.chest.2018.07.040</w:t>
      </w:r>
    </w:p>
    <w:p w14:paraId="0961C17B" w14:textId="77777777" w:rsidR="00754203" w:rsidRPr="002033FC" w:rsidRDefault="00754203" w:rsidP="00754203">
      <w:pPr>
        <w:widowControl w:val="0"/>
        <w:autoSpaceDE w:val="0"/>
        <w:autoSpaceDN w:val="0"/>
        <w:adjustRightInd w:val="0"/>
        <w:spacing w:line="240" w:lineRule="auto"/>
        <w:ind w:left="640" w:hanging="640"/>
        <w:rPr>
          <w:rFonts w:ascii="Arial" w:hAnsi="Arial" w:cs="Arial"/>
          <w:noProof/>
        </w:rPr>
      </w:pPr>
      <w:r w:rsidRPr="002033FC">
        <w:rPr>
          <w:rFonts w:ascii="Arial" w:hAnsi="Arial" w:cs="Arial"/>
          <w:noProof/>
        </w:rPr>
        <w:t xml:space="preserve">4. </w:t>
      </w:r>
      <w:r w:rsidRPr="002033FC">
        <w:rPr>
          <w:rFonts w:ascii="Arial" w:hAnsi="Arial" w:cs="Arial"/>
          <w:noProof/>
        </w:rPr>
        <w:tab/>
        <w:t xml:space="preserve">National Institute for Health and Clinical Excellence. Appraisal consultation document Andexanet alfa for reversing anticoagulation from apixaban or rivaroxaban. (September 2020):1–18. </w:t>
      </w:r>
    </w:p>
    <w:p w14:paraId="064847A1" w14:textId="77777777" w:rsidR="00754203" w:rsidRPr="002033FC" w:rsidRDefault="00754203" w:rsidP="00754203">
      <w:pPr>
        <w:widowControl w:val="0"/>
        <w:autoSpaceDE w:val="0"/>
        <w:autoSpaceDN w:val="0"/>
        <w:adjustRightInd w:val="0"/>
        <w:spacing w:line="240" w:lineRule="auto"/>
        <w:ind w:left="640" w:hanging="640"/>
        <w:rPr>
          <w:rFonts w:ascii="Arial" w:hAnsi="Arial" w:cs="Arial"/>
          <w:noProof/>
        </w:rPr>
      </w:pPr>
      <w:r w:rsidRPr="002033FC">
        <w:rPr>
          <w:rFonts w:ascii="Arial" w:hAnsi="Arial" w:cs="Arial"/>
          <w:noProof/>
        </w:rPr>
        <w:t xml:space="preserve">5. </w:t>
      </w:r>
      <w:r w:rsidRPr="002033FC">
        <w:rPr>
          <w:rFonts w:ascii="Arial" w:hAnsi="Arial" w:cs="Arial"/>
          <w:noProof/>
        </w:rPr>
        <w:tab/>
        <w:t>Scottish Medicines Consortium. Andexanet alfa (Ondexxya) [Internet]. 2020 [cited 2020 Oct 13]. Available from: https://www.scottishmedicines.org.uk/medicines-advice/andexanet-alfa-ondexxya-full-smc2273/</w:t>
      </w:r>
    </w:p>
    <w:p w14:paraId="1DF0AAF4" w14:textId="77777777" w:rsidR="00754203" w:rsidRPr="002033FC" w:rsidRDefault="00754203" w:rsidP="00754203">
      <w:pPr>
        <w:widowControl w:val="0"/>
        <w:autoSpaceDE w:val="0"/>
        <w:autoSpaceDN w:val="0"/>
        <w:adjustRightInd w:val="0"/>
        <w:spacing w:line="240" w:lineRule="auto"/>
        <w:ind w:left="640" w:hanging="640"/>
        <w:rPr>
          <w:rFonts w:ascii="Arial" w:hAnsi="Arial" w:cs="Arial"/>
          <w:noProof/>
        </w:rPr>
      </w:pPr>
      <w:r w:rsidRPr="002033FC">
        <w:rPr>
          <w:rFonts w:ascii="Arial" w:hAnsi="Arial" w:cs="Arial"/>
          <w:noProof/>
        </w:rPr>
        <w:t xml:space="preserve">6. </w:t>
      </w:r>
      <w:r w:rsidRPr="002033FC">
        <w:rPr>
          <w:rFonts w:ascii="Arial" w:hAnsi="Arial" w:cs="Arial"/>
          <w:noProof/>
        </w:rPr>
        <w:tab/>
        <w:t xml:space="preserve">Schulman S, Anger SU, Bergqvist D, Eriksson B, Lassen MR, Fisher W. Definition of major bleeding in clinical investigations of antihemostatic medicinal products in surgical patients. J Thromb Haemost. 2010;8(1):202–4. </w:t>
      </w:r>
    </w:p>
    <w:p w14:paraId="34DB26B6" w14:textId="77777777" w:rsidR="00754203" w:rsidRPr="002033FC" w:rsidRDefault="00754203" w:rsidP="00754203">
      <w:pPr>
        <w:widowControl w:val="0"/>
        <w:autoSpaceDE w:val="0"/>
        <w:autoSpaceDN w:val="0"/>
        <w:adjustRightInd w:val="0"/>
        <w:spacing w:line="240" w:lineRule="auto"/>
        <w:ind w:left="640" w:hanging="640"/>
        <w:rPr>
          <w:rFonts w:ascii="Arial" w:hAnsi="Arial" w:cs="Arial"/>
          <w:noProof/>
        </w:rPr>
      </w:pPr>
      <w:r w:rsidRPr="002033FC">
        <w:rPr>
          <w:rFonts w:ascii="Arial" w:hAnsi="Arial" w:cs="Arial"/>
          <w:noProof/>
        </w:rPr>
        <w:t xml:space="preserve">7. </w:t>
      </w:r>
      <w:r w:rsidRPr="002033FC">
        <w:rPr>
          <w:rFonts w:ascii="Arial" w:hAnsi="Arial" w:cs="Arial"/>
          <w:noProof/>
        </w:rPr>
        <w:tab/>
        <w:t>Coleman C, Dobesh P, Danese S, Ulloa J, Lovelace B. Real-world management of oral factor Xa inhibitor-related bleeds with reversal or replacement agents including andexanet alfa and four-factor prothrombin complex concentrate: a multicenter study. Future Cardiol [Internet]. 2020 Jul 3 [cited 2020 Oct 13]; Available from: https://www.futuremedicine.com/doi/abs/10.2217/fca-2020-0073</w:t>
      </w:r>
    </w:p>
    <w:p w14:paraId="5668E650" w14:textId="77777777" w:rsidR="00754203" w:rsidRPr="002033FC" w:rsidRDefault="00754203" w:rsidP="00754203">
      <w:pPr>
        <w:widowControl w:val="0"/>
        <w:autoSpaceDE w:val="0"/>
        <w:autoSpaceDN w:val="0"/>
        <w:adjustRightInd w:val="0"/>
        <w:spacing w:line="240" w:lineRule="auto"/>
        <w:ind w:left="640" w:hanging="640"/>
        <w:rPr>
          <w:rFonts w:ascii="Arial" w:hAnsi="Arial" w:cs="Arial"/>
          <w:noProof/>
        </w:rPr>
      </w:pPr>
      <w:r w:rsidRPr="002033FC">
        <w:rPr>
          <w:rFonts w:ascii="Arial" w:hAnsi="Arial" w:cs="Arial"/>
          <w:noProof/>
        </w:rPr>
        <w:t xml:space="preserve">8. </w:t>
      </w:r>
      <w:r w:rsidRPr="002033FC">
        <w:rPr>
          <w:rFonts w:ascii="Arial" w:hAnsi="Arial" w:cs="Arial"/>
          <w:noProof/>
        </w:rPr>
        <w:tab/>
        <w:t>Brown CS, Scott RA, Sridharan M, Rabinstein AA. Real-world utilization of andexanet alfa. Am J Emerg Med [Internet]. 2020 Apr 1 [cited 2020 Oct 13];38(4):810–4. Available from: https://pubmed.ncbi.nlm.nih.gov/31870672/</w:t>
      </w:r>
    </w:p>
    <w:p w14:paraId="11586EDF" w14:textId="77777777" w:rsidR="00754203" w:rsidRPr="002033FC" w:rsidRDefault="00754203" w:rsidP="00754203">
      <w:pPr>
        <w:widowControl w:val="0"/>
        <w:autoSpaceDE w:val="0"/>
        <w:autoSpaceDN w:val="0"/>
        <w:adjustRightInd w:val="0"/>
        <w:spacing w:line="240" w:lineRule="auto"/>
        <w:ind w:left="640" w:hanging="640"/>
        <w:rPr>
          <w:rFonts w:ascii="Arial" w:hAnsi="Arial" w:cs="Arial"/>
          <w:noProof/>
        </w:rPr>
      </w:pPr>
      <w:r w:rsidRPr="002033FC">
        <w:rPr>
          <w:rFonts w:ascii="Arial" w:hAnsi="Arial" w:cs="Arial"/>
          <w:noProof/>
        </w:rPr>
        <w:t xml:space="preserve">9. </w:t>
      </w:r>
      <w:r w:rsidRPr="002033FC">
        <w:rPr>
          <w:rFonts w:ascii="Arial" w:hAnsi="Arial" w:cs="Arial"/>
          <w:noProof/>
        </w:rPr>
        <w:tab/>
        <w:t xml:space="preserve">National Institute for Health and Care Excellence. Technology Appraisal Guidance. Andexanet alfa for reversing anticoagulation from apixaban or rivaroxaban. 2021. </w:t>
      </w:r>
    </w:p>
    <w:p w14:paraId="08A21265" w14:textId="77777777" w:rsidR="00754203" w:rsidRPr="002033FC" w:rsidRDefault="00754203" w:rsidP="00754203">
      <w:pPr>
        <w:rPr>
          <w:rFonts w:ascii="Arial" w:eastAsiaTheme="majorEastAsia" w:hAnsi="Arial" w:cs="Arial"/>
          <w:sz w:val="24"/>
          <w:szCs w:val="24"/>
        </w:rPr>
      </w:pPr>
      <w:r w:rsidRPr="002033FC">
        <w:rPr>
          <w:rFonts w:ascii="Arial" w:eastAsiaTheme="majorEastAsia" w:hAnsi="Arial" w:cs="Arial"/>
        </w:rPr>
        <w:fldChar w:fldCharType="end"/>
      </w:r>
    </w:p>
    <w:p w14:paraId="234CFD48" w14:textId="77777777" w:rsidR="00F66FCC" w:rsidRDefault="00F66FCC"/>
    <w:sectPr w:rsidR="00F66FCC">
      <w:headerReference w:type="default" r:id="rId19"/>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53EEA" w14:textId="77777777" w:rsidR="005A5065" w:rsidRDefault="005A5065" w:rsidP="00942969">
      <w:pPr>
        <w:spacing w:after="0" w:line="240" w:lineRule="auto"/>
      </w:pPr>
      <w:r>
        <w:separator/>
      </w:r>
    </w:p>
  </w:endnote>
  <w:endnote w:type="continuationSeparator" w:id="0">
    <w:p w14:paraId="31BCA2F5" w14:textId="77777777" w:rsidR="005A5065" w:rsidRDefault="005A5065" w:rsidP="009429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B6759" w14:textId="77777777" w:rsidR="00CC122A" w:rsidRDefault="00EF6A5C" w:rsidP="0031430E">
    <w:pPr>
      <w:pStyle w:val="Footer"/>
      <w:tabs>
        <w:tab w:val="left" w:pos="2127"/>
      </w:tabs>
      <w:rPr>
        <w:rFonts w:ascii="Arial" w:hAnsi="Arial" w:cs="Arial"/>
      </w:rPr>
    </w:pPr>
    <w:r w:rsidRPr="00CC122A">
      <w:rPr>
        <w:rFonts w:ascii="Arial" w:hAnsi="Arial" w:cs="Arial"/>
      </w:rPr>
      <w:t>RAPIDO</w:t>
    </w:r>
    <w:r>
      <w:rPr>
        <w:rFonts w:ascii="Arial" w:hAnsi="Arial" w:cs="Arial"/>
      </w:rPr>
      <w:t>: Guide for local NHS audit department registration.</w:t>
    </w:r>
    <w:r>
      <w:rPr>
        <w:rFonts w:ascii="Arial" w:hAnsi="Arial" w:cs="Arial"/>
      </w:rPr>
      <w:tab/>
      <w:t>March 2022</w:t>
    </w:r>
  </w:p>
  <w:p w14:paraId="7EF89420" w14:textId="77777777" w:rsidR="00625960" w:rsidRPr="00CC122A" w:rsidRDefault="00EF6A5C">
    <w:pPr>
      <w:pStyle w:val="Footer"/>
      <w:rPr>
        <w:rFonts w:ascii="Arial" w:hAnsi="Arial" w:cs="Arial"/>
      </w:rPr>
    </w:pPr>
    <w:r>
      <w:rPr>
        <w:rFonts w:ascii="Arial" w:hAnsi="Arial" w:cs="Arial"/>
      </w:rPr>
      <w:t>Author: R Buka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834E1" w14:textId="77777777" w:rsidR="005A5065" w:rsidRDefault="005A5065" w:rsidP="00942969">
      <w:pPr>
        <w:spacing w:after="0" w:line="240" w:lineRule="auto"/>
      </w:pPr>
      <w:r>
        <w:separator/>
      </w:r>
    </w:p>
  </w:footnote>
  <w:footnote w:type="continuationSeparator" w:id="0">
    <w:p w14:paraId="2D7EE63F" w14:textId="77777777" w:rsidR="005A5065" w:rsidRDefault="005A5065" w:rsidP="009429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7845E" w14:textId="77777777" w:rsidR="00625960" w:rsidRDefault="00EF6A5C" w:rsidP="00942969">
    <w:pPr>
      <w:pStyle w:val="Header"/>
      <w:tabs>
        <w:tab w:val="clear" w:pos="9026"/>
        <w:tab w:val="right" w:pos="8789"/>
      </w:tabs>
      <w:ind w:right="-613"/>
      <w:jc w:val="right"/>
    </w:pPr>
    <w:r>
      <w:rPr>
        <w:noProof/>
        <w:lang w:eastAsia="en-GB"/>
      </w:rPr>
      <w:drawing>
        <wp:inline distT="0" distB="0" distL="0" distR="0" wp14:anchorId="358EFCB3" wp14:editId="1490C0A9">
          <wp:extent cx="2283092" cy="543099"/>
          <wp:effectExtent l="0" t="0" r="3175"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323849" cy="55279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E08A1"/>
    <w:multiLevelType w:val="hybridMultilevel"/>
    <w:tmpl w:val="4EAC6A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A63D46"/>
    <w:multiLevelType w:val="hybridMultilevel"/>
    <w:tmpl w:val="192026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A7D5D4F"/>
    <w:multiLevelType w:val="hybridMultilevel"/>
    <w:tmpl w:val="B024DA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C47CC1"/>
    <w:multiLevelType w:val="hybridMultilevel"/>
    <w:tmpl w:val="E640A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F02C6C"/>
    <w:multiLevelType w:val="hybridMultilevel"/>
    <w:tmpl w:val="C91E04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43166A"/>
    <w:multiLevelType w:val="hybridMultilevel"/>
    <w:tmpl w:val="1974E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56643C"/>
    <w:multiLevelType w:val="hybridMultilevel"/>
    <w:tmpl w:val="5E74E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2F6D59"/>
    <w:multiLevelType w:val="hybridMultilevel"/>
    <w:tmpl w:val="5F2819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E14854"/>
    <w:multiLevelType w:val="multilevel"/>
    <w:tmpl w:val="06D473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F020B3"/>
    <w:multiLevelType w:val="multilevel"/>
    <w:tmpl w:val="453201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816ACB"/>
    <w:multiLevelType w:val="hybridMultilevel"/>
    <w:tmpl w:val="0BB21A7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9BC0DE4"/>
    <w:multiLevelType w:val="multilevel"/>
    <w:tmpl w:val="50FC6D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A13449"/>
    <w:multiLevelType w:val="hybridMultilevel"/>
    <w:tmpl w:val="4D063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C82AB9"/>
    <w:multiLevelType w:val="hybridMultilevel"/>
    <w:tmpl w:val="4DC62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8421C2"/>
    <w:multiLevelType w:val="hybridMultilevel"/>
    <w:tmpl w:val="7690E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2A7F76"/>
    <w:multiLevelType w:val="hybridMultilevel"/>
    <w:tmpl w:val="4A1EE7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186ED4"/>
    <w:multiLevelType w:val="hybridMultilevel"/>
    <w:tmpl w:val="0E9E3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F95AA0"/>
    <w:multiLevelType w:val="hybridMultilevel"/>
    <w:tmpl w:val="E4E48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2E2D96"/>
    <w:multiLevelType w:val="hybridMultilevel"/>
    <w:tmpl w:val="5CF8F3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BD6C0B"/>
    <w:multiLevelType w:val="hybridMultilevel"/>
    <w:tmpl w:val="6F4634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D33D20"/>
    <w:multiLevelType w:val="hybridMultilevel"/>
    <w:tmpl w:val="8C366B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23C30A4"/>
    <w:multiLevelType w:val="hybridMultilevel"/>
    <w:tmpl w:val="5EB0E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73A4DE9"/>
    <w:multiLevelType w:val="hybridMultilevel"/>
    <w:tmpl w:val="61E870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A1251D"/>
    <w:multiLevelType w:val="hybridMultilevel"/>
    <w:tmpl w:val="118A46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A294A00"/>
    <w:multiLevelType w:val="hybridMultilevel"/>
    <w:tmpl w:val="5D7CC1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F4654C"/>
    <w:multiLevelType w:val="hybridMultilevel"/>
    <w:tmpl w:val="AACE1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6C7A0E"/>
    <w:multiLevelType w:val="hybridMultilevel"/>
    <w:tmpl w:val="8B106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7"/>
  </w:num>
  <w:num w:numId="3">
    <w:abstractNumId w:val="2"/>
  </w:num>
  <w:num w:numId="4">
    <w:abstractNumId w:val="21"/>
  </w:num>
  <w:num w:numId="5">
    <w:abstractNumId w:val="24"/>
  </w:num>
  <w:num w:numId="6">
    <w:abstractNumId w:val="19"/>
  </w:num>
  <w:num w:numId="7">
    <w:abstractNumId w:val="23"/>
  </w:num>
  <w:num w:numId="8">
    <w:abstractNumId w:val="4"/>
  </w:num>
  <w:num w:numId="9">
    <w:abstractNumId w:val="15"/>
  </w:num>
  <w:num w:numId="10">
    <w:abstractNumId w:val="18"/>
  </w:num>
  <w:num w:numId="11">
    <w:abstractNumId w:val="13"/>
  </w:num>
  <w:num w:numId="12">
    <w:abstractNumId w:val="1"/>
  </w:num>
  <w:num w:numId="13">
    <w:abstractNumId w:val="26"/>
  </w:num>
  <w:num w:numId="14">
    <w:abstractNumId w:val="12"/>
  </w:num>
  <w:num w:numId="15">
    <w:abstractNumId w:val="3"/>
  </w:num>
  <w:num w:numId="16">
    <w:abstractNumId w:val="16"/>
  </w:num>
  <w:num w:numId="17">
    <w:abstractNumId w:val="10"/>
  </w:num>
  <w:num w:numId="18">
    <w:abstractNumId w:val="20"/>
  </w:num>
  <w:num w:numId="19">
    <w:abstractNumId w:val="6"/>
  </w:num>
  <w:num w:numId="20">
    <w:abstractNumId w:val="17"/>
  </w:num>
  <w:num w:numId="21">
    <w:abstractNumId w:val="5"/>
  </w:num>
  <w:num w:numId="22">
    <w:abstractNumId w:val="0"/>
  </w:num>
  <w:num w:numId="23">
    <w:abstractNumId w:val="22"/>
  </w:num>
  <w:num w:numId="24">
    <w:abstractNumId w:val="14"/>
  </w:num>
  <w:num w:numId="25">
    <w:abstractNumId w:val="9"/>
  </w:num>
  <w:num w:numId="26">
    <w:abstractNumId w:val="8"/>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203"/>
    <w:rsid w:val="000A49DD"/>
    <w:rsid w:val="000B1A11"/>
    <w:rsid w:val="000D0B9E"/>
    <w:rsid w:val="00162C09"/>
    <w:rsid w:val="00191B9D"/>
    <w:rsid w:val="0027375A"/>
    <w:rsid w:val="002A1907"/>
    <w:rsid w:val="002A1B59"/>
    <w:rsid w:val="0033344E"/>
    <w:rsid w:val="00384EA2"/>
    <w:rsid w:val="003E6C89"/>
    <w:rsid w:val="00441003"/>
    <w:rsid w:val="004414E8"/>
    <w:rsid w:val="0047421F"/>
    <w:rsid w:val="00477574"/>
    <w:rsid w:val="004F55E2"/>
    <w:rsid w:val="00514AC3"/>
    <w:rsid w:val="00515BD2"/>
    <w:rsid w:val="00546126"/>
    <w:rsid w:val="00572133"/>
    <w:rsid w:val="0057314E"/>
    <w:rsid w:val="00573847"/>
    <w:rsid w:val="005A5065"/>
    <w:rsid w:val="005B7935"/>
    <w:rsid w:val="006346F8"/>
    <w:rsid w:val="006B779B"/>
    <w:rsid w:val="00706B4A"/>
    <w:rsid w:val="00754203"/>
    <w:rsid w:val="007F2748"/>
    <w:rsid w:val="008B52F7"/>
    <w:rsid w:val="008B6301"/>
    <w:rsid w:val="008C625E"/>
    <w:rsid w:val="0094289B"/>
    <w:rsid w:val="00942969"/>
    <w:rsid w:val="009D524F"/>
    <w:rsid w:val="00B42AD3"/>
    <w:rsid w:val="00BA53B2"/>
    <w:rsid w:val="00C83A6E"/>
    <w:rsid w:val="00CE5E72"/>
    <w:rsid w:val="00DB3A7F"/>
    <w:rsid w:val="00DC46F1"/>
    <w:rsid w:val="00E043C4"/>
    <w:rsid w:val="00E114F5"/>
    <w:rsid w:val="00E4361C"/>
    <w:rsid w:val="00EE2FD7"/>
    <w:rsid w:val="00EF6A5C"/>
    <w:rsid w:val="00EF70BC"/>
    <w:rsid w:val="00F663F1"/>
    <w:rsid w:val="00F66FCC"/>
    <w:rsid w:val="00FC7A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0E441"/>
  <w15:chartTrackingRefBased/>
  <w15:docId w15:val="{F6D73439-079D-AB42-A6E3-87F4D5DDC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203"/>
    <w:pPr>
      <w:spacing w:after="160" w:line="259" w:lineRule="auto"/>
    </w:pPr>
    <w:rPr>
      <w:sz w:val="22"/>
      <w:szCs w:val="22"/>
    </w:rPr>
  </w:style>
  <w:style w:type="paragraph" w:styleId="Heading1">
    <w:name w:val="heading 1"/>
    <w:basedOn w:val="Normal"/>
    <w:next w:val="Normal"/>
    <w:link w:val="Heading1Char"/>
    <w:uiPriority w:val="9"/>
    <w:qFormat/>
    <w:rsid w:val="0075420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33344E"/>
    <w:pPr>
      <w:spacing w:after="200" w:line="276" w:lineRule="auto"/>
      <w:contextualSpacing/>
    </w:pPr>
    <w:rPr>
      <w:rFonts w:asciiTheme="majorHAnsi" w:eastAsiaTheme="majorEastAsia" w:hAnsiTheme="majorHAnsi" w:cstheme="majorBidi"/>
      <w:color w:val="166F9C"/>
      <w:spacing w:val="-10"/>
      <w:kern w:val="28"/>
      <w:sz w:val="72"/>
      <w:szCs w:val="72"/>
    </w:rPr>
  </w:style>
  <w:style w:type="character" w:customStyle="1" w:styleId="TitleChar">
    <w:name w:val="Title Char"/>
    <w:basedOn w:val="DefaultParagraphFont"/>
    <w:link w:val="Title"/>
    <w:uiPriority w:val="10"/>
    <w:rsid w:val="0033344E"/>
    <w:rPr>
      <w:rFonts w:asciiTheme="majorHAnsi" w:eastAsiaTheme="majorEastAsia" w:hAnsiTheme="majorHAnsi" w:cstheme="majorBidi"/>
      <w:color w:val="166F9C"/>
      <w:spacing w:val="-10"/>
      <w:kern w:val="28"/>
      <w:sz w:val="72"/>
      <w:szCs w:val="72"/>
    </w:rPr>
  </w:style>
  <w:style w:type="paragraph" w:styleId="Subtitle">
    <w:name w:val="Subtitle"/>
    <w:basedOn w:val="Normal"/>
    <w:next w:val="Normal"/>
    <w:link w:val="SubtitleChar"/>
    <w:autoRedefine/>
    <w:uiPriority w:val="11"/>
    <w:qFormat/>
    <w:rsid w:val="0033344E"/>
    <w:pPr>
      <w:numPr>
        <w:ilvl w:val="1"/>
      </w:numPr>
      <w:spacing w:line="276" w:lineRule="auto"/>
    </w:pPr>
    <w:rPr>
      <w:rFonts w:eastAsiaTheme="minorEastAsia"/>
      <w:color w:val="166F9C"/>
      <w:spacing w:val="15"/>
      <w:sz w:val="48"/>
    </w:rPr>
  </w:style>
  <w:style w:type="character" w:customStyle="1" w:styleId="SubtitleChar">
    <w:name w:val="Subtitle Char"/>
    <w:basedOn w:val="DefaultParagraphFont"/>
    <w:link w:val="Subtitle"/>
    <w:uiPriority w:val="11"/>
    <w:rsid w:val="0033344E"/>
    <w:rPr>
      <w:rFonts w:eastAsiaTheme="minorEastAsia"/>
      <w:color w:val="166F9C"/>
      <w:spacing w:val="15"/>
      <w:sz w:val="48"/>
      <w:szCs w:val="22"/>
    </w:rPr>
  </w:style>
  <w:style w:type="character" w:customStyle="1" w:styleId="Heading1Char">
    <w:name w:val="Heading 1 Char"/>
    <w:basedOn w:val="DefaultParagraphFont"/>
    <w:link w:val="Heading1"/>
    <w:uiPriority w:val="9"/>
    <w:rsid w:val="00754203"/>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754203"/>
    <w:rPr>
      <w:color w:val="0563C1" w:themeColor="hyperlink"/>
      <w:u w:val="single"/>
    </w:rPr>
  </w:style>
  <w:style w:type="paragraph" w:styleId="ListParagraph">
    <w:name w:val="List Paragraph"/>
    <w:basedOn w:val="Normal"/>
    <w:uiPriority w:val="34"/>
    <w:qFormat/>
    <w:rsid w:val="00754203"/>
    <w:pPr>
      <w:ind w:left="720"/>
      <w:contextualSpacing/>
    </w:pPr>
  </w:style>
  <w:style w:type="character" w:styleId="Strong">
    <w:name w:val="Strong"/>
    <w:basedOn w:val="DefaultParagraphFont"/>
    <w:uiPriority w:val="22"/>
    <w:qFormat/>
    <w:rsid w:val="00754203"/>
    <w:rPr>
      <w:b/>
      <w:bCs/>
    </w:rPr>
  </w:style>
  <w:style w:type="table" w:styleId="TableGrid">
    <w:name w:val="Table Grid"/>
    <w:basedOn w:val="TableNormal"/>
    <w:uiPriority w:val="39"/>
    <w:rsid w:val="0075420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542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4203"/>
    <w:rPr>
      <w:sz w:val="22"/>
      <w:szCs w:val="22"/>
    </w:rPr>
  </w:style>
  <w:style w:type="paragraph" w:styleId="Footer">
    <w:name w:val="footer"/>
    <w:basedOn w:val="Normal"/>
    <w:link w:val="FooterChar"/>
    <w:uiPriority w:val="99"/>
    <w:unhideWhenUsed/>
    <w:rsid w:val="007542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4203"/>
    <w:rPr>
      <w:sz w:val="22"/>
      <w:szCs w:val="22"/>
    </w:rPr>
  </w:style>
  <w:style w:type="paragraph" w:styleId="TOCHeading">
    <w:name w:val="TOC Heading"/>
    <w:basedOn w:val="Heading1"/>
    <w:next w:val="Normal"/>
    <w:uiPriority w:val="39"/>
    <w:unhideWhenUsed/>
    <w:qFormat/>
    <w:rsid w:val="00754203"/>
    <w:pPr>
      <w:outlineLvl w:val="9"/>
    </w:pPr>
    <w:rPr>
      <w:lang w:val="en-US"/>
    </w:rPr>
  </w:style>
  <w:style w:type="paragraph" w:styleId="TOC1">
    <w:name w:val="toc 1"/>
    <w:basedOn w:val="Normal"/>
    <w:next w:val="Normal"/>
    <w:autoRedefine/>
    <w:uiPriority w:val="39"/>
    <w:unhideWhenUsed/>
    <w:rsid w:val="00754203"/>
    <w:pPr>
      <w:spacing w:after="100"/>
    </w:pPr>
  </w:style>
  <w:style w:type="character" w:styleId="FollowedHyperlink">
    <w:name w:val="FollowedHyperlink"/>
    <w:basedOn w:val="DefaultParagraphFont"/>
    <w:uiPriority w:val="99"/>
    <w:semiHidden/>
    <w:unhideWhenUsed/>
    <w:rsid w:val="00754203"/>
    <w:rPr>
      <w:color w:val="954F72" w:themeColor="followedHyperlink"/>
      <w:u w:val="single"/>
    </w:rPr>
  </w:style>
  <w:style w:type="character" w:styleId="CommentReference">
    <w:name w:val="annotation reference"/>
    <w:basedOn w:val="DefaultParagraphFont"/>
    <w:uiPriority w:val="99"/>
    <w:semiHidden/>
    <w:unhideWhenUsed/>
    <w:rsid w:val="00942969"/>
    <w:rPr>
      <w:sz w:val="16"/>
      <w:szCs w:val="16"/>
    </w:rPr>
  </w:style>
  <w:style w:type="paragraph" w:styleId="CommentText">
    <w:name w:val="annotation text"/>
    <w:basedOn w:val="Normal"/>
    <w:link w:val="CommentTextChar"/>
    <w:uiPriority w:val="99"/>
    <w:semiHidden/>
    <w:unhideWhenUsed/>
    <w:rsid w:val="00942969"/>
    <w:pPr>
      <w:spacing w:line="240" w:lineRule="auto"/>
    </w:pPr>
    <w:rPr>
      <w:sz w:val="20"/>
      <w:szCs w:val="20"/>
    </w:rPr>
  </w:style>
  <w:style w:type="character" w:customStyle="1" w:styleId="CommentTextChar">
    <w:name w:val="Comment Text Char"/>
    <w:basedOn w:val="DefaultParagraphFont"/>
    <w:link w:val="CommentText"/>
    <w:uiPriority w:val="99"/>
    <w:semiHidden/>
    <w:rsid w:val="00942969"/>
    <w:rPr>
      <w:sz w:val="20"/>
      <w:szCs w:val="20"/>
    </w:rPr>
  </w:style>
  <w:style w:type="paragraph" w:styleId="CommentSubject">
    <w:name w:val="annotation subject"/>
    <w:basedOn w:val="CommentText"/>
    <w:next w:val="CommentText"/>
    <w:link w:val="CommentSubjectChar"/>
    <w:uiPriority w:val="99"/>
    <w:semiHidden/>
    <w:unhideWhenUsed/>
    <w:rsid w:val="00942969"/>
    <w:rPr>
      <w:b/>
      <w:bCs/>
    </w:rPr>
  </w:style>
  <w:style w:type="character" w:customStyle="1" w:styleId="CommentSubjectChar">
    <w:name w:val="Comment Subject Char"/>
    <w:basedOn w:val="CommentTextChar"/>
    <w:link w:val="CommentSubject"/>
    <w:uiPriority w:val="99"/>
    <w:semiHidden/>
    <w:rsid w:val="00942969"/>
    <w:rPr>
      <w:b/>
      <w:bCs/>
      <w:sz w:val="20"/>
      <w:szCs w:val="20"/>
    </w:rPr>
  </w:style>
  <w:style w:type="character" w:customStyle="1" w:styleId="UnresolvedMention1">
    <w:name w:val="Unresolved Mention1"/>
    <w:basedOn w:val="DefaultParagraphFont"/>
    <w:uiPriority w:val="99"/>
    <w:semiHidden/>
    <w:unhideWhenUsed/>
    <w:rsid w:val="0057314E"/>
    <w:rPr>
      <w:color w:val="605E5C"/>
      <w:shd w:val="clear" w:color="auto" w:fill="E1DFDD"/>
    </w:rPr>
  </w:style>
  <w:style w:type="paragraph" w:styleId="BalloonText">
    <w:name w:val="Balloon Text"/>
    <w:basedOn w:val="Normal"/>
    <w:link w:val="BalloonTextChar"/>
    <w:uiPriority w:val="99"/>
    <w:semiHidden/>
    <w:unhideWhenUsed/>
    <w:rsid w:val="005461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61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502073">
      <w:bodyDiv w:val="1"/>
      <w:marLeft w:val="0"/>
      <w:marRight w:val="0"/>
      <w:marTop w:val="0"/>
      <w:marBottom w:val="0"/>
      <w:divBdr>
        <w:top w:val="none" w:sz="0" w:space="0" w:color="auto"/>
        <w:left w:val="none" w:sz="0" w:space="0" w:color="auto"/>
        <w:bottom w:val="none" w:sz="0" w:space="0" w:color="auto"/>
        <w:right w:val="none" w:sz="0" w:space="0" w:color="auto"/>
      </w:divBdr>
      <w:divsChild>
        <w:div w:id="1856724745">
          <w:marLeft w:val="0"/>
          <w:marRight w:val="0"/>
          <w:marTop w:val="0"/>
          <w:marBottom w:val="0"/>
          <w:divBdr>
            <w:top w:val="none" w:sz="0" w:space="0" w:color="auto"/>
            <w:left w:val="none" w:sz="0" w:space="0" w:color="auto"/>
            <w:bottom w:val="none" w:sz="0" w:space="0" w:color="auto"/>
            <w:right w:val="none" w:sz="0" w:space="0" w:color="auto"/>
          </w:divBdr>
          <w:divsChild>
            <w:div w:id="458649409">
              <w:marLeft w:val="0"/>
              <w:marRight w:val="0"/>
              <w:marTop w:val="0"/>
              <w:marBottom w:val="0"/>
              <w:divBdr>
                <w:top w:val="none" w:sz="0" w:space="0" w:color="auto"/>
                <w:left w:val="none" w:sz="0" w:space="0" w:color="auto"/>
                <w:bottom w:val="none" w:sz="0" w:space="0" w:color="auto"/>
                <w:right w:val="none" w:sz="0" w:space="0" w:color="auto"/>
              </w:divBdr>
            </w:div>
            <w:div w:id="1157307896">
              <w:marLeft w:val="0"/>
              <w:marRight w:val="0"/>
              <w:marTop w:val="0"/>
              <w:marBottom w:val="0"/>
              <w:divBdr>
                <w:top w:val="none" w:sz="0" w:space="0" w:color="auto"/>
                <w:left w:val="none" w:sz="0" w:space="0" w:color="auto"/>
                <w:bottom w:val="none" w:sz="0" w:space="0" w:color="auto"/>
                <w:right w:val="none" w:sz="0" w:space="0" w:color="auto"/>
              </w:divBdr>
            </w:div>
            <w:div w:id="387463115">
              <w:marLeft w:val="0"/>
              <w:marRight w:val="0"/>
              <w:marTop w:val="0"/>
              <w:marBottom w:val="0"/>
              <w:divBdr>
                <w:top w:val="none" w:sz="0" w:space="0" w:color="auto"/>
                <w:left w:val="none" w:sz="0" w:space="0" w:color="auto"/>
                <w:bottom w:val="none" w:sz="0" w:space="0" w:color="auto"/>
                <w:right w:val="none" w:sz="0" w:space="0" w:color="auto"/>
              </w:divBdr>
            </w:div>
          </w:divsChild>
        </w:div>
        <w:div w:id="763840340">
          <w:marLeft w:val="0"/>
          <w:marRight w:val="0"/>
          <w:marTop w:val="0"/>
          <w:marBottom w:val="0"/>
          <w:divBdr>
            <w:top w:val="none" w:sz="0" w:space="0" w:color="auto"/>
            <w:left w:val="none" w:sz="0" w:space="0" w:color="auto"/>
            <w:bottom w:val="none" w:sz="0" w:space="0" w:color="auto"/>
            <w:right w:val="none" w:sz="0" w:space="0" w:color="auto"/>
          </w:divBdr>
          <w:divsChild>
            <w:div w:id="2000844446">
              <w:marLeft w:val="0"/>
              <w:marRight w:val="0"/>
              <w:marTop w:val="0"/>
              <w:marBottom w:val="0"/>
              <w:divBdr>
                <w:top w:val="none" w:sz="0" w:space="0" w:color="auto"/>
                <w:left w:val="none" w:sz="0" w:space="0" w:color="auto"/>
                <w:bottom w:val="none" w:sz="0" w:space="0" w:color="auto"/>
                <w:right w:val="none" w:sz="0" w:space="0" w:color="auto"/>
              </w:divBdr>
            </w:div>
            <w:div w:id="128712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emstar.org/RAPIDO/" TargetMode="External"/><Relationship Id="rId13" Type="http://schemas.openxmlformats.org/officeDocument/2006/relationships/hyperlink" Target="https://b-s-h.org.uk/media/16887/addendum-2018-dabigatran-idarucizumab-raz.pdf" TargetMode="External"/><Relationship Id="rId18" Type="http://schemas.openxmlformats.org/officeDocument/2006/relationships/hyperlink" Target="http://www.haemstar.or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onlinelibrary.wiley.com/doi/full/10.1111/bjh.12107" TargetMode="External"/><Relationship Id="rId17" Type="http://schemas.openxmlformats.org/officeDocument/2006/relationships/hyperlink" Target="http://www.haemstar.org" TargetMode="External"/><Relationship Id="rId2" Type="http://schemas.openxmlformats.org/officeDocument/2006/relationships/styles" Target="styles.xml"/><Relationship Id="rId16" Type="http://schemas.openxmlformats.org/officeDocument/2006/relationships/hyperlink" Target="mailto:bhamred@contacts.bham.ac.uk"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ice.org.uk/guidance/ta697" TargetMode="External"/><Relationship Id="rId5" Type="http://schemas.openxmlformats.org/officeDocument/2006/relationships/footnotes" Target="footnotes.xml"/><Relationship Id="rId15" Type="http://schemas.openxmlformats.org/officeDocument/2006/relationships/hyperlink" Target="mailto:pnicolson@nhs.net" TargetMode="External"/><Relationship Id="rId10" Type="http://schemas.openxmlformats.org/officeDocument/2006/relationships/hyperlink" Target="mailto:richard.buka@nhs.net"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ichard.buka@nhs.net" TargetMode="External"/><Relationship Id="rId14" Type="http://schemas.openxmlformats.org/officeDocument/2006/relationships/hyperlink" Target="mailto:richard.buka@nhs.net"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8040</Words>
  <Characters>45830</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Michala Pettitt</dc:creator>
  <cp:keywords/>
  <dc:description/>
  <cp:lastModifiedBy>Richard Buka (Cardiovascular Sciences)</cp:lastModifiedBy>
  <cp:revision>3</cp:revision>
  <cp:lastPrinted>2022-04-27T15:12:00Z</cp:lastPrinted>
  <dcterms:created xsi:type="dcterms:W3CDTF">2022-04-27T15:12:00Z</dcterms:created>
  <dcterms:modified xsi:type="dcterms:W3CDTF">2022-04-27T15:13:00Z</dcterms:modified>
</cp:coreProperties>
</file>